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1027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to streamline permitting for rail electrification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Reid</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S.561, Senator Crighton (Discharged to Transportation)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of this bill amends Section 62 of Chapter 30 (General Provisions Relative to State Departments, Commissions, Officers, and Employees) of MGL by adding two new definitions. The first definition is for </w:t>
            </w:r>
            <w:r w:rsidDel="00000000" w:rsidR="00000000" w:rsidRPr="00000000">
              <w:rPr>
                <w:rFonts w:ascii="Times New Roman" w:cs="Times New Roman" w:eastAsia="Times New Roman" w:hAnsi="Times New Roman"/>
                <w:sz w:val="24"/>
                <w:szCs w:val="24"/>
                <w:rtl w:val="0"/>
              </w:rPr>
              <w:t xml:space="preserve">“Near-zero-emission rail infrastructure” and the second is for “Zero-emission rail infrastructure”. </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of this bill amends Chapter 30 (General Provisions Relative to State Departments, Commissions, Officers, and Employees) of MGL by adding a new section, Section 62E1/2.</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states that any projects that involve the construction or upgrade of zero-emission or near-zero-emission rail infrastructure are exempt from submitting environmental impact reports and will be exempted by the Executive Office of Energy and Environmental Affairs (EEA). Additionally, any projects that involve the construction or upgrade of infrastructure to power zero-emission or near-zero-emission rail vehicles are also exempt from submitting environmental impact reports and will be exempted by EEA.</w:t>
            </w: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