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1031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4e7iht91zg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combined sewer overflows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Representatives Rogers and Garballey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S608 by Senator Jehlen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H886; Reported favorably by ENR and referred to HWM where no further action was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amends Chapter 21, Section 27B of Massachusetts General Law to mandate that, beginning January 1, 2035, no combined sewer overflows (CSOs) caused by 25-year 24-hour storm events or smaller storm events will go untreated within the MWRA's sewer service areas.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Within 18 months of this legislation's enactment, DEP is tasked with adopting regulations to implement these CSO treatment guidelines. This includes defining a "25-year 24-hour storm event" and "combined sewer overflow treatment." Both of these definitions should be updated periodically as technology changes and as the climate changes.  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