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r>
    </w:p>
    <w:p w:rsidR="00000000" w:rsidDel="00000000" w:rsidP="00000000" w:rsidRDefault="00000000" w:rsidRPr="00000000" w14:paraId="0000000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BILL NUMBER</w:t>
      </w:r>
      <w:r w:rsidDel="00000000" w:rsidR="00000000" w:rsidRPr="00000000">
        <w:rPr>
          <w:rFonts w:ascii="Times New Roman" w:cs="Times New Roman" w:eastAsia="Times New Roman" w:hAnsi="Times New Roman"/>
          <w:sz w:val="24"/>
          <w:szCs w:val="24"/>
          <w:rtl w:val="0"/>
        </w:rPr>
        <w:t xml:space="preserve">                   House, No. 1032</w:t>
      </w:r>
    </w:p>
    <w:p w:rsidR="00000000" w:rsidDel="00000000" w:rsidP="00000000" w:rsidRDefault="00000000" w:rsidRPr="00000000" w14:paraId="00000007">
      <w:pP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TITLE</w:t>
      </w:r>
      <w:r w:rsidDel="00000000" w:rsidR="00000000" w:rsidRPr="00000000">
        <w:rPr>
          <w:rFonts w:ascii="Times New Roman" w:cs="Times New Roman" w:eastAsia="Times New Roman" w:hAnsi="Times New Roman"/>
          <w:sz w:val="24"/>
          <w:szCs w:val="24"/>
          <w:rtl w:val="0"/>
        </w:rPr>
        <w:t xml:space="preserve">                                   An Act to establish environmental accountability in the fashion </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industry</w:t>
      </w:r>
    </w:p>
    <w:p w:rsidR="00000000" w:rsidDel="00000000" w:rsidP="00000000" w:rsidRDefault="00000000" w:rsidRPr="00000000" w14:paraId="0000000A">
      <w:pP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SPONSORS </w:t>
      </w:r>
      <w:r w:rsidDel="00000000" w:rsidR="00000000" w:rsidRPr="00000000">
        <w:rPr>
          <w:rFonts w:ascii="Times New Roman" w:cs="Times New Roman" w:eastAsia="Times New Roman" w:hAnsi="Times New Roman"/>
          <w:sz w:val="24"/>
          <w:szCs w:val="24"/>
          <w:rtl w:val="0"/>
        </w:rPr>
        <w:t xml:space="preserve">                         Representative D. Rogers</w:t>
      </w:r>
    </w:p>
    <w:p w:rsidR="00000000" w:rsidDel="00000000" w:rsidP="00000000" w:rsidRDefault="00000000" w:rsidRPr="00000000" w14:paraId="0000000C">
      <w:pP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SIMILAR MATTERS</w:t>
      </w:r>
      <w:r w:rsidDel="00000000" w:rsidR="00000000" w:rsidRPr="00000000">
        <w:rPr>
          <w:rFonts w:ascii="Times New Roman" w:cs="Times New Roman" w:eastAsia="Times New Roman" w:hAnsi="Times New Roman"/>
          <w:sz w:val="24"/>
          <w:szCs w:val="24"/>
          <w:rtl w:val="0"/>
        </w:rPr>
        <w:t xml:space="preserve">         None</w:t>
      </w:r>
    </w:p>
    <w:p w:rsidR="00000000" w:rsidDel="00000000" w:rsidP="00000000" w:rsidRDefault="00000000" w:rsidRPr="00000000" w14:paraId="0000000E">
      <w:pP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PREVIOUS HISTORY</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None</w:t>
      </w:r>
    </w:p>
    <w:p w:rsidR="00000000" w:rsidDel="00000000" w:rsidP="00000000" w:rsidRDefault="00000000" w:rsidRPr="00000000" w14:paraId="00000010">
      <w:pP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Chapter 29 of MGL (State Finance) by adding a new section, Section 2</w:t>
      </w:r>
      <w:commentRangeStart w:id="0"/>
      <w:commentRangeStart w:id="1"/>
      <w:commentRangeStart w:id="2"/>
      <w:commentRangeStart w:id="3"/>
      <w:commentRangeStart w:id="4"/>
      <w:r w:rsidDel="00000000" w:rsidR="00000000" w:rsidRPr="00000000">
        <w:rPr>
          <w:rFonts w:ascii="Times New Roman" w:cs="Times New Roman" w:eastAsia="Times New Roman" w:hAnsi="Times New Roman"/>
          <w:sz w:val="24"/>
          <w:szCs w:val="24"/>
          <w:rtl w:val="0"/>
        </w:rPr>
        <w:t xml:space="preserve">KKKKKK</w:t>
      </w:r>
      <w:commentRangeEnd w:id="0"/>
      <w:r w:rsidDel="00000000" w:rsidR="00000000" w:rsidRPr="00000000">
        <w:commentReference w:id="0"/>
      </w:r>
      <w:commentRangeEnd w:id="1"/>
      <w:r w:rsidDel="00000000" w:rsidR="00000000" w:rsidRPr="00000000">
        <w:commentReference w:id="1"/>
      </w:r>
      <w:commentRangeEnd w:id="2"/>
      <w:r w:rsidDel="00000000" w:rsidR="00000000" w:rsidRPr="00000000">
        <w:commentReference w:id="2"/>
      </w:r>
      <w:commentRangeEnd w:id="3"/>
      <w:r w:rsidDel="00000000" w:rsidR="00000000" w:rsidRPr="00000000">
        <w:commentReference w:id="3"/>
      </w:r>
      <w:commentRangeEnd w:id="4"/>
      <w:r w:rsidDel="00000000" w:rsidR="00000000" w:rsidRPr="00000000">
        <w:commentReference w:id="4"/>
      </w:r>
      <w:r w:rsidDel="00000000" w:rsidR="00000000" w:rsidRPr="00000000">
        <w:rPr>
          <w:rFonts w:ascii="Times New Roman" w:cs="Times New Roman" w:eastAsia="Times New Roman" w:hAnsi="Times New Roman"/>
          <w:sz w:val="24"/>
          <w:szCs w:val="24"/>
          <w:rtl w:val="0"/>
        </w:rPr>
        <w:t xml:space="preserve">. This section establishes the Fashion Environmental Accountability Fund which will be used to ensure that fashion sellers adhere to environmental standards.  </w:t>
      </w:r>
      <w:commentRangeStart w:id="5"/>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attorney general will administer this fund to assist in verification and enforcement of environmental due diligence by fashion sellers (further detailed below). Revenue from appropriations and additional funds authorized by the general court will be credited to the fund as well as any public and private gifts, grants, and donations. Any funds remaining at the end of the fiscal year will not revert to the General Fund. </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later than October 1 of each year, the attorney general must report on the fund’s activities to the Clerks of the House and Senate, the Joint Committee on Judiciary, and the House and Senate Committees on Ways and Means. This report will also be made available on the attorney general’s website. </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Chapter 93 of MGL (Regulation of Trade and Certain Enterprises) by adding a new section, Section 115. Section 115(a) provides several definitions pertaining to the fashion industry which are outlined in the bill text. Section 155(b) states that every fashion seller must carry out environmental due diligence for the portions of their business related to wearing apparel, footwear or fashion bags. Sellers must identify and remediate the actual and potential adverse impacts to the environment in their own business operations and supply chain. This environmental due diligence requirement is further detailed in the bill text. </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Additionally, fashion sellers must incentivize improved supplier performance on environmental impact by embedding responsible purchasing practices in its supply chain relationships and contracts. Sellers must also establish quantitative baseline and reduction targets on greenhouse gas emissions. If found out of compliance, fashion sellers have 18 months to remedy their emissions and return to their necessary reduction pathway to deliver on their targets. </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Within two years of this bill’s passage, if applicable, fashion sellers must sample and report on wastewater chemical concentrations and water usage, their chemical inventory, and provide evidence that they are in compliance with local chemical management laws. If found out of compliance, fashion sellers must adhere to remediation guidelines which are outlined in the bill text. </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Every fashion seller must submit to the attorney general annually, beginning within 18 months of this bill’s passage, an environmental due diligence report. This report must also be publicly available on the seller’s website. The report must include the seller’s annual activities and financial spending to support supply chain environmental due diligence. The attorney general or their designee will review these reports for completeness and notify fashion sellers if they are out of compliance. The Department of Environmental Protection (DEP) will also be involved in the review of such reports. </w:t>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attorney general will work in conjunction with the DEP to make rules and regulations pertaining to this bill. Additionally, they will disseminate educational materials to fashion sellers which will include providing alerts on time sensitive issues, emerging issues and high-risk country situations and assisting fashion sellers in improving the quality of their due diligence processes. The attorney general may use funds from the Fashion Environmental Accountability Fund to finance the above. </w:t>
      </w: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 compliant fashion sellers will be noted on the attorney general’s website. The attorney general’s office will investigate any seller who fails to file an environmental due diligence report. If a seller is found to be noncompliant and receives a notice from the attorney general’s office, they have three months to meet obligations for compliance and if not, the seller will be subject to a fine of up to 2% of their annual revenues. Any fines will be deposited into the Fashion Environmental Accountability Fund. </w:t>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rFonts w:ascii="Times New Roman" w:cs="Times New Roman" w:eastAsia="Times New Roman" w:hAnsi="Times New Roman"/>
          <w:sz w:val="24"/>
          <w:szCs w:val="24"/>
          <w:rtl w:val="0"/>
        </w:rPr>
        <w:t xml:space="preserve">The attorney general will use a risk-based approach concerning enforcement of this act and will publish enforcement guidelines regarding this bill. This act will take effect 6 months after its passage.</w:t>
      </w: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Emily Camizzi" w:id="5" w:date="2025-06-30T15:42:43Z">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From Kira- Last session the bill included both environmental and labor provisions. This session it just includes environmental provisions. We are working with a national coalition and this decision was made to put us in alignment with the New York version.</w:t>
      </w:r>
    </w:p>
  </w:comment>
  <w:comment w:author="Aditi Vaidya" w:id="0" w:date="2025-06-27T19:32:19Z">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 many Ks!</w:t>
      </w:r>
    </w:p>
  </w:comment>
  <w:comment w:author="Aditi Vaidya" w:id="1" w:date="2025-06-27T19:32:33Z">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also, remember angelica</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total reaction</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Christine Barber reacted with 😥 at 2025-06-27 12:36 PM</w:t>
      </w:r>
    </w:p>
  </w:comment>
  <w:comment w:author="Emily Camizzi" w:id="2" w:date="2025-06-27T19:39:03Z">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It's to account for all of the Kardashians i think</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total reaction</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Aditi Vaidya reacted with 😂 at 2025-06-27 12:40 PM</w:t>
      </w:r>
    </w:p>
  </w:comment>
  <w:comment w:author="Aditi Vaidya" w:id="3" w:date="2025-06-27T19:40:37Z">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know Kira was out but did we confirm if they substantially changed the language from last session?</w:t>
      </w:r>
    </w:p>
  </w:comment>
  <w:comment w:author="Emily Camizzi" w:id="4" w:date="2025-06-27T19:43:34Z">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Esme said she thinks it is a redraft but will confirm Monday once Kira is back- there's a ton of overlap and they moved certain sections around it looks like/revamped the title. If it is a redraft of H.420 from last session, it went to Economic Development and Emerging Technologies last time</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