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1033</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responding to the threat of invasive species</w:t>
            </w:r>
          </w:p>
        </w:tc>
      </w:tr>
      <w:tr>
        <w:trPr>
          <w:cantSplit w:val="0"/>
          <w:trHeight w:val="6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Rogers</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S607 by Senator Jehlen</w:t>
            </w:r>
          </w:p>
        </w:tc>
      </w:tr>
      <w:tr>
        <w:trPr>
          <w:cantSplit w:val="0"/>
          <w:trHeight w:val="132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H999; favorably redrafted by ENRA as H4595; referred to HWM where no further action was taken</w:t>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H890; reported favorably by ENR; referred to HWM where no further action was taken</w:t>
            </w:r>
          </w:p>
          <w:p w:rsidR="00000000" w:rsidDel="00000000" w:rsidP="00000000" w:rsidRDefault="00000000" w:rsidRPr="00000000" w14:paraId="0000000F">
            <w:pPr>
              <w:spacing w:after="0" w:before="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1">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introduces a comprehensive framework for managing invasive species in Massachusetts through amendments to Chapters 10 and 20 of the General Laws. The initiative establishes new definitions, creates funding mechanisms, and outlines state responsibilities to prevent, control, and manage invasive species across the Commonwealth’s ecosystems. The bill aims to preserve ecological integrity by coordinating strategic, science-based, and collaborative responses.</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new Invasive Species Trust Fund is created to support efforts related to invasive species management. The fund will receive appropriations from the legislature, private donations, investment income, and optional contributions from those applying for hunting, fishing, and trapping licenses. Managed by a statewide invasive species coordinator, the fund will finance the operations of the state's invasive species office, research projects, the development of a strategic management plan, and grants to municipalities, non-profits, and agencies engaged in control projects. Projects are prioritized based on their urgency and potential impact, with emphasis on new infestations and prevention efforts. Grant recipients must develop detailed management plans, and recurring maintenance projects can be funded for up to five years at 75% of annual costs.</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law establishes a comprehensive invasive species office within the Executive Office of Energy and Environmental Affairs to lead prevention, early detection, rapid response, public education, and interagency coordination. A Statewide Invasive Species Coordinator will oversee the office and its activities, including the development and periodic updating of a statewide strategic management plan. The coordinator will also conduct outreach, monitor state lands, engage in fieldwork, and support local governments in securing funding. The office will partner with academic institutions and utilize citizen science initiatives to expand data collection and public engagement.</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central feature of the initiative is the creation of a strategic management plan, updated at least every five years.  The plan will outline the state's mission and strategies for invasive species control, including prevention, enforcement, and public education. It will establish coordination mechanisms between state and local governments, set research priorities, recommend staffing needs, and promote interagency collaboration.  The plan will also guide how invasive species control projects intersect with existing conservation laws, especially wetland regulations, and it will build on existing frameworks like the Massachusetts Aquatic Invasive Species Management Plan.</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16-member Invasive Species Advisory Committee is established to guide policy development and implementation.  Chaired by the coordinator, the committee includes representatives from conservation groups, universities, government agencies, and other stakeholders.  It will meet regularly, conduct public hearings, issue annual reports, and help develop invasive species data systems. The committee’s responsibilities include maintaining species watchlists, advising on regulation and enforcement, promoting native plant alternatives, and collaborating with federal and regional entities.</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committee has broad authority to shape state invasive species policy. It can restrict the sale and transport of invasive species, advise on fines and penalties, and recommend legislation. It is also charged with ensuring that all state agencies align with invasive species policy and that invasive species information is accessible through centralized databases.</w:t>
            </w:r>
            <w:r w:rsidDel="00000000" w:rsidR="00000000" w:rsidRPr="00000000">
              <w:rPr>
                <w:rtl w:val="0"/>
              </w:rPr>
            </w:r>
          </w:p>
        </w:tc>
      </w:tr>
    </w:tbl>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