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1033</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responding to the threat of invasive species</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Rogers</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S607 by Senator Jehlen</w:t>
            </w:r>
          </w:p>
        </w:tc>
      </w:tr>
      <w:tr>
        <w:trPr>
          <w:cantSplit w:val="0"/>
          <w:trHeight w:val="13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H999; favorably redrafted by ENRA as H4595; referred to HWM where no further action was taken</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H890; reported favorably by ENR; referred to HWM where no further action was taken</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introduces a comprehensive framework for managing invasive species in Massachusetts through amendments to Chapters 10 and 20 of the General Laws. The initiative establishes new definitions, creates funding mechanisms, and outlines state responsibilities to prevent, control, and manage invasive species across the Commonwealth’s ecosystems. The bill aims to preserve ecological integrity by coordinating strategic, science-based, and collaborative responses.</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new Invasive Species Trust Fund is created to support efforts related to invasive species management. The fund will receive appropriations from the legislature, private donations, investment income, and optional contributions from those applying for hunting, fishing, and trapping licenses. Managed by a statewide invasive species coordinator, the fund will finance the operations of the state's invasive species office, research projects, the development of a strategic management plan, and grants to municipalities, non-profits, and agencies engaged in control projects. Projects are prioritized based on their urgency and potential impact, with emphasis on new infestations and prevention efforts. Grant recipients must develop detailed management plans, and recurring maintenance projects can be funded for up to five years at 75% of annual costs.</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law establishes a comprehensive invasive species office within the Executive Office of Energy and Environmental Affairs to lead prevention, early detection, rapid response, public education, and interagency coordination. A Statewide Invasive Species Coordinator will oversee the office and its activities, including the development and periodic updating of a statewide strategic management plan. The coordinator will also conduct outreach, monitor state lands, engage in fieldwork, and support local governments in securing funding. The office will partner with academic institutions and utilize citizen science initiatives to expand data collection and public engagement.</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central feature of the initiative is the creation of a strategic management plan, updated at least every five years.  The plan will outline the state's mission and strategies for invasive species control, including prevention, enforcement, and public education. It will establish coordination mechanisms between state and local governments, set research priorities, recommend staffing needs, and promote interagency collaboration.  The plan will also guide how invasive species control projects intersect with existing conservation laws, especially wetland regulations, and it will build on existing frameworks like the Massachusetts Aquatic Invasive Species Management Plan.</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16-member Invasive Species Advisory Committee is established to guide policy development and implementation.  Chaired by the coordinator, the committee includes representatives from conservation groups, universities, government agencies, and other stakeholders.  It will meet regularly, conduct public hearings, issue annual reports, and help develop invasive species data systems. The committee’s responsibilities include maintaining species watchlists, advising on regulation and enforcement, promoting native plant alternatives, and collaborating with federal and regional entities.</w:t>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has broad authority to shape state invasive species policy. It can restrict the sale and transport of invasive species, advise on fines and penalties, and recommend legislation. It is also charged with ensuring that all state agencies align with invasive species policy and that invasive species information is accessible through centralized databases.</w:t>
            </w:r>
            <w:r w:rsidDel="00000000" w:rsidR="00000000" w:rsidRPr="00000000">
              <w:rPr>
                <w:rtl w:val="0"/>
              </w:rPr>
            </w:r>
          </w:p>
        </w:tc>
      </w:tr>
    </w:tbl>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