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6960"/>
        <w:tblGridChange w:id="0">
          <w:tblGrid>
            <w:gridCol w:w="2385"/>
            <w:gridCol w:w="696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1037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h4e7iht91zgg" w:id="0"/>
            <w:bookmarkEnd w:id="0"/>
            <w:r w:rsidDel="00000000" w:rsidR="00000000" w:rsidRPr="00000000">
              <w:rPr>
                <w:rFonts w:ascii="Times New Roman" w:cs="Times New Roman" w:eastAsia="Times New Roman" w:hAnsi="Times New Roman"/>
                <w:sz w:val="24"/>
                <w:szCs w:val="24"/>
                <w:rtl w:val="0"/>
              </w:rPr>
              <w:t xml:space="preserve">An Act to require transparency and disclosure by materials recovery facilities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Representatives Rogers</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keepNext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2021-2022: Filed as H995; sent to study by ENRA </w:t>
            </w:r>
            <w:r w:rsidDel="00000000" w:rsidR="00000000" w:rsidRPr="00000000">
              <w:rPr>
                <w:rtl w:val="0"/>
              </w:rPr>
            </w:r>
          </w:p>
          <w:p w:rsidR="00000000" w:rsidDel="00000000" w:rsidP="00000000" w:rsidRDefault="00000000" w:rsidRPr="00000000" w14:paraId="0000000D">
            <w:pPr>
              <w:keepNext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H891; Accompanied a study order, H4668</w:t>
            </w:r>
          </w:p>
          <w:p w:rsidR="00000000" w:rsidDel="00000000" w:rsidP="00000000" w:rsidRDefault="00000000" w:rsidRPr="00000000" w14:paraId="0000000E">
            <w:pPr>
              <w:keepNext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8 of Chapter 21H of Massachusetts General Law to require each Materials Recovery Facility (MRF) to regularly provide detailed reports to DEP in order to enhance transparency and accountability in recycling operations. The required reports must include:</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Inbound weight of each commodity and all contaminants sold or disposed of, based on audited commodity compositions conducted by a third party approved by DEP</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Outbound weight of each commodity sold</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Commodity composition of residue, to determine material losses during sorting</w:t>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Commodity composition of samples taken before baling, to assess bale quality</w:t>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Destinations of each outbound commodity and disposed residue</w:t>
            </w:r>
          </w:p>
          <w:p w:rsidR="00000000" w:rsidDel="00000000" w:rsidP="00000000" w:rsidRDefault="00000000" w:rsidRPr="00000000" w14:paraId="0000001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that the MRF is submitting its outbound commodity pricing to the index it uses for contract pricing</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 is authorized to:</w:t>
            </w:r>
          </w:p>
          <w:p w:rsidR="00000000" w:rsidDel="00000000" w:rsidP="00000000" w:rsidRDefault="00000000" w:rsidRPr="00000000" w14:paraId="0000001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frequency and methodology of the required reports</w:t>
            </w:r>
          </w:p>
          <w:p w:rsidR="00000000" w:rsidDel="00000000" w:rsidP="00000000" w:rsidRDefault="00000000" w:rsidRPr="00000000" w14:paraId="0000001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the standards for third-party audits</w:t>
            </w:r>
          </w:p>
          <w:p w:rsidR="00000000" w:rsidDel="00000000" w:rsidP="00000000" w:rsidRDefault="00000000" w:rsidRPr="00000000" w14:paraId="0000001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a list of qualified third-party auditors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also mandates that DEP make current index value information available to municipalities that contract with MRFs either directly or through waste haulers.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invoicing municipal customers, MRFs must use the most recently reported commodity compositions and index values in their Average Market Value (AMV) calculations, excluding disposed residue. If an index value is not available for a particular commodity or contaminant, the MRF must provide primary documentation showing how the value was determined.</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MRFs must report outbound commodity pricing to the index publisher used for their contract pricing.  Contamination fees imposed by MRFs cannot exceed 150% of the actual disposal cost, and must be supported with documentation of the cost and disposal location.  Further, Disposed residue must comply with DEP standards for the handling of waste ban materials as outlined in 310 CMR 19.017.</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Provisions in subsections (c) through (g) of this section take effect January 1, 2026, and DEP must promulgate regulations under subsection (b) by July 1, 2026.</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