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34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85"/>
        <w:gridCol w:w="6960"/>
        <w:tblGridChange w:id="0">
          <w:tblGrid>
            <w:gridCol w:w="2385"/>
            <w:gridCol w:w="6960"/>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1037</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pStyle w:val="Heading2"/>
              <w:keepNext w:val="0"/>
              <w:keepLines w:val="0"/>
              <w:shd w:fill="ffffff" w:val="clear"/>
              <w:spacing w:after="160" w:before="300" w:line="264" w:lineRule="auto"/>
              <w:rPr>
                <w:rFonts w:ascii="Times New Roman" w:cs="Times New Roman" w:eastAsia="Times New Roman" w:hAnsi="Times New Roman"/>
                <w:sz w:val="24"/>
                <w:szCs w:val="24"/>
              </w:rPr>
            </w:pPr>
            <w:bookmarkStart w:colFirst="0" w:colLast="0" w:name="_h4e7iht91zgg" w:id="0"/>
            <w:bookmarkEnd w:id="0"/>
            <w:r w:rsidDel="00000000" w:rsidR="00000000" w:rsidRPr="00000000">
              <w:rPr>
                <w:rFonts w:ascii="Times New Roman" w:cs="Times New Roman" w:eastAsia="Times New Roman" w:hAnsi="Times New Roman"/>
                <w:sz w:val="24"/>
                <w:szCs w:val="24"/>
                <w:rtl w:val="0"/>
              </w:rPr>
              <w:t xml:space="preserve">An Act to require transparency and disclosure by materials recovery facilities </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7">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Representatives Rogers</w:t>
            </w:r>
            <w:r w:rsidDel="00000000" w:rsidR="00000000" w:rsidRPr="00000000">
              <w:rPr>
                <w:rtl w:val="0"/>
              </w:rPr>
            </w:r>
          </w:p>
        </w:tc>
      </w:tr>
      <w:tr>
        <w:trPr>
          <w:cantSplit w:val="0"/>
          <w:trHeight w:val="105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w:t>
            </w:r>
          </w:p>
          <w:p w:rsidR="00000000" w:rsidDel="00000000" w:rsidP="00000000" w:rsidRDefault="00000000" w:rsidRPr="00000000" w14:paraId="0000000C">
            <w:pPr>
              <w:keepNext w:val="1"/>
              <w:pBdr>
                <w:top w:color="auto" w:space="0" w:sz="0" w:val="none"/>
                <w:left w:color="auto" w:space="0" w:sz="0" w:val="none"/>
                <w:bottom w:color="auto" w:space="0" w:sz="0" w:val="none"/>
                <w:right w:color="auto" w:space="0" w:sz="0" w:val="none"/>
                <w:between w:color="auto" w:space="0" w:sz="0" w:val="none"/>
              </w:pBdr>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2021-2022: Filed as H995; sent to study by ENRA </w:t>
            </w:r>
            <w:r w:rsidDel="00000000" w:rsidR="00000000" w:rsidRPr="00000000">
              <w:rPr>
                <w:rtl w:val="0"/>
              </w:rPr>
            </w:r>
          </w:p>
          <w:p w:rsidR="00000000" w:rsidDel="00000000" w:rsidP="00000000" w:rsidRDefault="00000000" w:rsidRPr="00000000" w14:paraId="0000000D">
            <w:pPr>
              <w:keepNext w:val="1"/>
              <w:pBdr>
                <w:top w:color="auto" w:space="0" w:sz="0" w:val="none"/>
                <w:left w:color="auto" w:space="0" w:sz="0" w:val="none"/>
                <w:bottom w:color="auto" w:space="0" w:sz="0" w:val="none"/>
                <w:right w:color="auto" w:space="0" w:sz="0" w:val="none"/>
                <w:between w:color="auto" w:space="0" w:sz="0" w:val="none"/>
              </w:pBdr>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Filed as H891; Accompanied a study order, H4668</w:t>
            </w:r>
          </w:p>
          <w:p w:rsidR="00000000" w:rsidDel="00000000" w:rsidP="00000000" w:rsidRDefault="00000000" w:rsidRPr="00000000" w14:paraId="0000000E">
            <w:pPr>
              <w:keepNext w:val="1"/>
              <w:pBdr>
                <w:top w:color="auto" w:space="0" w:sz="0" w:val="none"/>
                <w:left w:color="auto" w:space="0" w:sz="0" w:val="none"/>
                <w:bottom w:color="auto" w:space="0" w:sz="0" w:val="none"/>
                <w:right w:color="auto" w:space="0" w:sz="0" w:val="none"/>
                <w:between w:color="auto" w:space="0" w:sz="0" w:val="none"/>
              </w:pBdr>
              <w:shd w:fill="ffffff" w:val="clea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167.4023437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0">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amends Section 8 of Chapter 21H of Massachusetts General Law to require each Materials Recovery Facility (MRF) to regularly provide detailed reports to DEP in order to enhance transparency and accountability in recycling operations. The required reports must include:</w:t>
            </w:r>
          </w:p>
          <w:p w:rsidR="00000000" w:rsidDel="00000000" w:rsidP="00000000" w:rsidRDefault="00000000" w:rsidRPr="00000000" w14:paraId="00000012">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Inbound weight of each commodity and all contaminants sold or disposed of, based on audited commodity compositions conducted by a third party approved by DEP</w:t>
            </w:r>
          </w:p>
          <w:p w:rsidR="00000000" w:rsidDel="00000000" w:rsidP="00000000" w:rsidRDefault="00000000" w:rsidRPr="00000000" w14:paraId="00000013">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Outbound weight of each commodity sold</w:t>
            </w:r>
          </w:p>
          <w:p w:rsidR="00000000" w:rsidDel="00000000" w:rsidP="00000000" w:rsidRDefault="00000000" w:rsidRPr="00000000" w14:paraId="00000014">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Commodity composition of residue, to determine material losses during sorting</w:t>
            </w:r>
          </w:p>
          <w:p w:rsidR="00000000" w:rsidDel="00000000" w:rsidP="00000000" w:rsidRDefault="00000000" w:rsidRPr="00000000" w14:paraId="00000015">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Commodity composition of samples taken before baling, to assess bale quality</w:t>
            </w:r>
          </w:p>
          <w:p w:rsidR="00000000" w:rsidDel="00000000" w:rsidP="00000000" w:rsidRDefault="00000000" w:rsidRPr="00000000" w14:paraId="00000016">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Destinations of each outbound commodity and disposed residue</w:t>
            </w:r>
          </w:p>
          <w:p w:rsidR="00000000" w:rsidDel="00000000" w:rsidP="00000000" w:rsidRDefault="00000000" w:rsidRPr="00000000" w14:paraId="00000017">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24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Evidence that the MRF is submitting its outbound commodity pricing to the index it uses for contract pricing</w:t>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DEP is authorized to:</w:t>
            </w:r>
          </w:p>
          <w:p w:rsidR="00000000" w:rsidDel="00000000" w:rsidP="00000000" w:rsidRDefault="00000000" w:rsidRPr="00000000" w14:paraId="00000019">
            <w:pPr>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Determine the frequency and methodology of the required reports</w:t>
            </w:r>
          </w:p>
          <w:p w:rsidR="00000000" w:rsidDel="00000000" w:rsidP="00000000" w:rsidRDefault="00000000" w:rsidRPr="00000000" w14:paraId="0000001A">
            <w:pPr>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Establish the standards for third-party audits</w:t>
            </w:r>
          </w:p>
          <w:p w:rsidR="00000000" w:rsidDel="00000000" w:rsidP="00000000" w:rsidRDefault="00000000" w:rsidRPr="00000000" w14:paraId="0000001B">
            <w:pPr>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spacing w:after="24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Approve a list of qualified third-party auditors</w:t>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bill also mandates that DEP make current index value information available to municipalities that contract with MRFs either directly or through waste haulers.</w:t>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invoicing municipal customers, MRFs must use the most recently reported commodity compositions and index values in their Average Market Value (AMV) calculations, excluding disposed residue. If an index value is not available for a particular commodity or contaminant, the MRF must provide primary documentation showing how the value was determined.</w:t>
            </w:r>
          </w:p>
          <w:p w:rsidR="00000000" w:rsidDel="00000000" w:rsidP="00000000" w:rsidRDefault="00000000" w:rsidRPr="00000000" w14:paraId="0000001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addition, MRFs must report outbound commodity pricing to the index publisher used for their contract pricing.  Contamination fees imposed by MRFs cannot exceed 150% of the actual disposal cost, and must be supported with documentation of the cost and disposal location.  Further, Disposed residue must comply with DEP standards for the handling of waste ban materials as outlined in 310 CMR 19.017.</w:t>
            </w:r>
          </w:p>
          <w:p w:rsidR="00000000" w:rsidDel="00000000" w:rsidP="00000000" w:rsidRDefault="00000000" w:rsidRPr="00000000" w14:paraId="0000001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Provisions in subsections (c) through (g) of this section take effect January 1, 2026, and DEP must promulgate regulations under subsection (b) by July 1, 2026.</w:t>
            </w:r>
          </w:p>
          <w:p w:rsidR="00000000" w:rsidDel="00000000" w:rsidP="00000000" w:rsidRDefault="00000000" w:rsidRPr="00000000" w14:paraId="00000020">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22">
      <w:pPr>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