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870.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7365"/>
        <w:tblGridChange w:id="0">
          <w:tblGrid>
            <w:gridCol w:w="2505"/>
            <w:gridCol w:w="736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1041</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protect pollinators and public health</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Sabadosa</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2 (Definitions) of Chapter 132B (Massachusetts Pesticide Control Act) of MGL by adding a definition of “Neonicotinoid”. Additionally, Chapter 132B is amended by adding a new section, Section 17. This section states that beginning on January, 1, 2029, the distribution or sale of any agricultural seed for corn, wheat, or soybean treated with a neonicotinoid is illegal, unless a waiver is issued by the Department of Food and Agriculture. </w:t>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17(c) of this bill details the requirements of obtaining such a waiver. Waivers will only be issued for up to one year. The Department of Food and Agriculture, alongside the pesticide board, will develop regulations for administering these waivers. All waivers issued will be considered public records and will be made publicly available online. </w:t>
            </w:r>
            <w:r w:rsidDel="00000000" w:rsidR="00000000" w:rsidRPr="00000000">
              <w:rPr>
                <w:rtl w:val="0"/>
              </w:rPr>
            </w:r>
          </w:p>
        </w:tc>
      </w:tr>
    </w:tbl>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