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20"/>
        <w:gridCol w:w="6825"/>
        <w:tblGridChange w:id="0">
          <w:tblGrid>
            <w:gridCol w:w="2520"/>
            <w:gridCol w:w="682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1045</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pStyle w:val="Heading2"/>
              <w:keepNext w:val="0"/>
              <w:keepLines w:val="0"/>
              <w:shd w:fill="ffffff" w:val="clear"/>
              <w:spacing w:after="160" w:before="300" w:line="264" w:lineRule="auto"/>
              <w:rPr>
                <w:rFonts w:ascii="Times New Roman" w:cs="Times New Roman" w:eastAsia="Times New Roman" w:hAnsi="Times New Roman"/>
                <w:sz w:val="24"/>
                <w:szCs w:val="24"/>
              </w:rPr>
            </w:pPr>
            <w:bookmarkStart w:colFirst="0" w:colLast="0" w:name="_26n5dg9ish0n" w:id="0"/>
            <w:bookmarkEnd w:id="0"/>
            <w:r w:rsidDel="00000000" w:rsidR="00000000" w:rsidRPr="00000000">
              <w:rPr>
                <w:rFonts w:ascii="Times New Roman" w:cs="Times New Roman" w:eastAsia="Times New Roman" w:hAnsi="Times New Roman"/>
                <w:color w:val="333333"/>
                <w:sz w:val="24"/>
                <w:szCs w:val="24"/>
                <w:rtl w:val="0"/>
              </w:rPr>
              <w:t xml:space="preserve">An Act to eliminate combined sewer overflows in Massachusetts waterways</w:t>
            </w: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Scarsdale of </w:t>
            </w:r>
            <w:r w:rsidDel="00000000" w:rsidR="00000000" w:rsidRPr="00000000">
              <w:rPr>
                <w:rFonts w:ascii="Times New Roman" w:cs="Times New Roman" w:eastAsia="Times New Roman" w:hAnsi="Times New Roman"/>
                <w:sz w:val="24"/>
                <w:szCs w:val="24"/>
                <w:highlight w:val="white"/>
                <w:rtl w:val="0"/>
              </w:rPr>
              <w:t xml:space="preserve">Pepperell</w:t>
            </w:r>
            <w:r w:rsidDel="00000000" w:rsidR="00000000" w:rsidRPr="00000000">
              <w:rPr>
                <w:rtl w:val="0"/>
              </w:rPr>
            </w:r>
          </w:p>
        </w:tc>
      </w:tr>
      <w:tr>
        <w:trPr>
          <w:cantSplit w:val="0"/>
          <w:trHeight w:val="105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w:t>
            </w:r>
          </w:p>
        </w:tc>
      </w:tr>
      <w:tr>
        <w:trPr>
          <w:cantSplit w:val="0"/>
          <w:trHeight w:val="3167.402343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E">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0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SECTION 1: </w:t>
            </w:r>
            <w:r w:rsidDel="00000000" w:rsidR="00000000" w:rsidRPr="00000000">
              <w:rPr>
                <w:rFonts w:ascii="Times New Roman" w:cs="Times New Roman" w:eastAsia="Times New Roman" w:hAnsi="Times New Roman"/>
                <w:sz w:val="24"/>
                <w:szCs w:val="24"/>
                <w:rtl w:val="0"/>
              </w:rPr>
              <w:t xml:space="preserve">Subsection 5C(1) is added to Section 5C of Massachusetts General Law (Chapter 21E), outlining the Department's audit of response actions at sites owned or operated by an eligible person. The audit applies to sites with a permanent solution or remedy operations status. If no violations are found, or if violations are corrected promptly, the audit results serve as conclusive evidence that the eligible person has no liability. In such cases, the Department cannot take action against the eligible person for releases at any property not identified in the site or any other disposal site.</w:t>
            </w:r>
          </w:p>
          <w:p w:rsidR="00000000" w:rsidDel="00000000" w:rsidP="00000000" w:rsidRDefault="00000000" w:rsidRPr="00000000" w14:paraId="0000001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SECTION 2: </w:t>
            </w:r>
            <w:r w:rsidDel="00000000" w:rsidR="00000000" w:rsidRPr="00000000">
              <w:rPr>
                <w:rFonts w:ascii="Times New Roman" w:cs="Times New Roman" w:eastAsia="Times New Roman" w:hAnsi="Times New Roman"/>
                <w:sz w:val="24"/>
                <w:szCs w:val="24"/>
                <w:rtl w:val="0"/>
              </w:rPr>
              <w:t xml:space="preserve">This section establishes that, despite any contrary laws, a person will not be liable for substantial release migration at properties not previously identified as part of a disposal site if DEP has audited response actions at the site before the effective date of this act. The person must have either achieved and maintained a permanent solution or remedy operations status, as determined by the DEP, or promptly corrected any identified violations of Chapter 21E. Additionally, the DEP cannot contest the liability of an eligible person in any action or claim if it can be shown that a permanent solution or remedy operations status was achieved and maintained.</w:t>
            </w:r>
          </w:p>
          <w:p w:rsidR="00000000" w:rsidDel="00000000" w:rsidP="00000000" w:rsidRDefault="00000000" w:rsidRPr="00000000" w14:paraId="00000011">
            <w:pPr>
              <w:pStyle w:val="Heading3"/>
              <w:keepNext w:val="0"/>
              <w:keepLines w:val="0"/>
              <w:shd w:fill="ffffff" w:val="clear"/>
              <w:spacing w:before="280" w:line="240" w:lineRule="auto"/>
              <w:rPr>
                <w:rFonts w:ascii="Times New Roman" w:cs="Times New Roman" w:eastAsia="Times New Roman" w:hAnsi="Times New Roman"/>
                <w:b w:val="1"/>
                <w:color w:val="333333"/>
                <w:sz w:val="26"/>
                <w:szCs w:val="26"/>
                <w:highlight w:val="white"/>
              </w:rPr>
            </w:pPr>
            <w:bookmarkStart w:colFirst="0" w:colLast="0" w:name="_saq8l2cknp91" w:id="1"/>
            <w:bookmarkEnd w:id="1"/>
            <w:r w:rsidDel="00000000" w:rsidR="00000000" w:rsidRPr="00000000">
              <w:rPr>
                <w:rFonts w:ascii="Times New Roman" w:cs="Times New Roman" w:eastAsia="Times New Roman" w:hAnsi="Times New Roman"/>
                <w:b w:val="1"/>
                <w:color w:val="333333"/>
                <w:sz w:val="26"/>
                <w:szCs w:val="26"/>
                <w:highlight w:val="white"/>
                <w:rtl w:val="0"/>
              </w:rPr>
              <w:t xml:space="preserve">SECTION 1:</w:t>
            </w:r>
          </w:p>
          <w:p w:rsidR="00000000" w:rsidDel="00000000" w:rsidP="00000000" w:rsidRDefault="00000000" w:rsidRPr="00000000" w14:paraId="00000012">
            <w:pPr>
              <w:shd w:fill="ffffff" w:val="clear"/>
              <w:spacing w:after="240" w:before="240" w:line="240" w:lineRule="auto"/>
              <w:rPr>
                <w:rFonts w:ascii="Times New Roman" w:cs="Times New Roman" w:eastAsia="Times New Roman" w:hAnsi="Times New Roman"/>
                <w:b w:val="1"/>
                <w:color w:val="33333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Amendment to Section 5C of Chapter 21E:</w:t>
            </w:r>
          </w:p>
          <w:p w:rsidR="00000000" w:rsidDel="00000000" w:rsidP="00000000" w:rsidRDefault="00000000" w:rsidRPr="00000000" w14:paraId="00000013">
            <w:pPr>
              <w:numPr>
                <w:ilvl w:val="0"/>
                <w:numId w:val="2"/>
              </w:numPr>
              <w:shd w:fill="ffffff" w:val="clear"/>
              <w:spacing w:after="0" w:afterAutospacing="0" w:before="240" w:line="240" w:lineRule="auto"/>
              <w:ind w:left="720" w:hanging="36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Subsection 5C (1)</w:t>
            </w:r>
            <w:r w:rsidDel="00000000" w:rsidR="00000000" w:rsidRPr="00000000">
              <w:rPr>
                <w:rFonts w:ascii="Times New Roman" w:cs="Times New Roman" w:eastAsia="Times New Roman" w:hAnsi="Times New Roman"/>
                <w:color w:val="333333"/>
                <w:sz w:val="24"/>
                <w:szCs w:val="24"/>
                <w:highlight w:val="white"/>
                <w:rtl w:val="0"/>
              </w:rPr>
              <w:t xml:space="preserve"> is added to Section 5C of Massachusetts General Law (Chapter 21E).</w:t>
            </w:r>
          </w:p>
          <w:p w:rsidR="00000000" w:rsidDel="00000000" w:rsidP="00000000" w:rsidRDefault="00000000" w:rsidRPr="00000000" w14:paraId="00000014">
            <w:pPr>
              <w:numPr>
                <w:ilvl w:val="1"/>
                <w:numId w:val="2"/>
              </w:numPr>
              <w:shd w:fill="ffffff" w:val="clear"/>
              <w:spacing w:after="0" w:afterAutospacing="0" w:before="0" w:beforeAutospacing="0" w:line="240" w:lineRule="auto"/>
              <w:ind w:left="1440" w:hanging="36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Department Audit of Response Actions</w:t>
            </w:r>
            <w:r w:rsidDel="00000000" w:rsidR="00000000" w:rsidRPr="00000000">
              <w:rPr>
                <w:rFonts w:ascii="Times New Roman" w:cs="Times New Roman" w:eastAsia="Times New Roman" w:hAnsi="Times New Roman"/>
                <w:color w:val="333333"/>
                <w:sz w:val="24"/>
                <w:szCs w:val="24"/>
                <w:highlight w:val="white"/>
                <w:rtl w:val="0"/>
              </w:rPr>
              <w:t xml:space="preserve">:</w:t>
            </w:r>
          </w:p>
          <w:p w:rsidR="00000000" w:rsidDel="00000000" w:rsidP="00000000" w:rsidRDefault="00000000" w:rsidRPr="00000000" w14:paraId="00000015">
            <w:pPr>
              <w:numPr>
                <w:ilvl w:val="2"/>
                <w:numId w:val="2"/>
              </w:numPr>
              <w:shd w:fill="ffffff" w:val="clear"/>
              <w:spacing w:after="0" w:afterAutospacing="0" w:before="0" w:beforeAutospacing="0" w:line="240" w:lineRule="auto"/>
              <w:ind w:left="2160" w:hanging="36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The department audits response actions at a site or part of the site owned or operated by an eligible person, as detailed in a waste site cleanup opinion.</w:t>
            </w:r>
          </w:p>
          <w:p w:rsidR="00000000" w:rsidDel="00000000" w:rsidP="00000000" w:rsidRDefault="00000000" w:rsidRPr="00000000" w14:paraId="00000016">
            <w:pPr>
              <w:numPr>
                <w:ilvl w:val="2"/>
                <w:numId w:val="2"/>
              </w:numPr>
              <w:shd w:fill="ffffff" w:val="clear"/>
              <w:spacing w:after="0" w:afterAutospacing="0" w:before="0" w:beforeAutospacing="0" w:line="240" w:lineRule="auto"/>
              <w:ind w:left="2160" w:hanging="36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The audit applies to sites where a </w:t>
            </w:r>
            <w:r w:rsidDel="00000000" w:rsidR="00000000" w:rsidRPr="00000000">
              <w:rPr>
                <w:rFonts w:ascii="Times New Roman" w:cs="Times New Roman" w:eastAsia="Times New Roman" w:hAnsi="Times New Roman"/>
                <w:b w:val="1"/>
                <w:color w:val="333333"/>
                <w:sz w:val="24"/>
                <w:szCs w:val="24"/>
                <w:highlight w:val="white"/>
                <w:rtl w:val="0"/>
              </w:rPr>
              <w:t xml:space="preserve">permanent solution</w:t>
            </w:r>
            <w:r w:rsidDel="00000000" w:rsidR="00000000" w:rsidRPr="00000000">
              <w:rPr>
                <w:rFonts w:ascii="Times New Roman" w:cs="Times New Roman" w:eastAsia="Times New Roman" w:hAnsi="Times New Roman"/>
                <w:color w:val="333333"/>
                <w:sz w:val="24"/>
                <w:szCs w:val="24"/>
                <w:highlight w:val="white"/>
                <w:rtl w:val="0"/>
              </w:rPr>
              <w:t xml:space="preserve"> or </w:t>
            </w:r>
            <w:r w:rsidDel="00000000" w:rsidR="00000000" w:rsidRPr="00000000">
              <w:rPr>
                <w:rFonts w:ascii="Times New Roman" w:cs="Times New Roman" w:eastAsia="Times New Roman" w:hAnsi="Times New Roman"/>
                <w:b w:val="1"/>
                <w:color w:val="333333"/>
                <w:sz w:val="24"/>
                <w:szCs w:val="24"/>
                <w:highlight w:val="white"/>
                <w:rtl w:val="0"/>
              </w:rPr>
              <w:t xml:space="preserve">remedy operations status</w:t>
            </w:r>
            <w:r w:rsidDel="00000000" w:rsidR="00000000" w:rsidRPr="00000000">
              <w:rPr>
                <w:rFonts w:ascii="Times New Roman" w:cs="Times New Roman" w:eastAsia="Times New Roman" w:hAnsi="Times New Roman"/>
                <w:color w:val="333333"/>
                <w:sz w:val="24"/>
                <w:szCs w:val="24"/>
                <w:highlight w:val="white"/>
                <w:rtl w:val="0"/>
              </w:rPr>
              <w:t xml:space="preserve"> has been maintained or achieved.</w:t>
              <w:br w:type="textWrapping"/>
            </w:r>
          </w:p>
          <w:p w:rsidR="00000000" w:rsidDel="00000000" w:rsidP="00000000" w:rsidRDefault="00000000" w:rsidRPr="00000000" w14:paraId="00000017">
            <w:pPr>
              <w:numPr>
                <w:ilvl w:val="2"/>
                <w:numId w:val="2"/>
              </w:numPr>
              <w:shd w:fill="ffffff" w:val="clear"/>
              <w:spacing w:after="0" w:afterAutospacing="0" w:before="0" w:beforeAutospacing="0" w:line="240" w:lineRule="auto"/>
              <w:ind w:left="2160" w:hanging="36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If:</w:t>
            </w:r>
          </w:p>
          <w:p w:rsidR="00000000" w:rsidDel="00000000" w:rsidP="00000000" w:rsidRDefault="00000000" w:rsidRPr="00000000" w14:paraId="00000018">
            <w:pPr>
              <w:numPr>
                <w:ilvl w:val="3"/>
                <w:numId w:val="2"/>
              </w:numPr>
              <w:shd w:fill="ffffff" w:val="clear"/>
              <w:spacing w:after="0" w:afterAutospacing="0" w:before="0" w:beforeAutospacing="0" w:line="240" w:lineRule="auto"/>
              <w:ind w:left="2880" w:hanging="36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No violations are found, or</w:t>
            </w:r>
          </w:p>
          <w:p w:rsidR="00000000" w:rsidDel="00000000" w:rsidP="00000000" w:rsidRDefault="00000000" w:rsidRPr="00000000" w14:paraId="00000019">
            <w:pPr>
              <w:numPr>
                <w:ilvl w:val="3"/>
                <w:numId w:val="2"/>
              </w:numPr>
              <w:shd w:fill="ffffff" w:val="clear"/>
              <w:spacing w:after="0" w:afterAutospacing="0" w:before="0" w:beforeAutospacing="0" w:line="240" w:lineRule="auto"/>
              <w:ind w:left="2880" w:hanging="36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Violations are identified and promptly corrected,</w:t>
              <w:br w:type="textWrapping"/>
            </w:r>
          </w:p>
          <w:p w:rsidR="00000000" w:rsidDel="00000000" w:rsidP="00000000" w:rsidRDefault="00000000" w:rsidRPr="00000000" w14:paraId="0000001A">
            <w:pPr>
              <w:numPr>
                <w:ilvl w:val="2"/>
                <w:numId w:val="2"/>
              </w:numPr>
              <w:shd w:fill="ffffff" w:val="clear"/>
              <w:spacing w:after="0" w:afterAutospacing="0" w:before="0" w:beforeAutospacing="0" w:line="240" w:lineRule="auto"/>
              <w:ind w:left="2160" w:hanging="36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The audit results will be </w:t>
            </w:r>
            <w:r w:rsidDel="00000000" w:rsidR="00000000" w:rsidRPr="00000000">
              <w:rPr>
                <w:rFonts w:ascii="Times New Roman" w:cs="Times New Roman" w:eastAsia="Times New Roman" w:hAnsi="Times New Roman"/>
                <w:b w:val="1"/>
                <w:color w:val="333333"/>
                <w:sz w:val="24"/>
                <w:szCs w:val="24"/>
                <w:highlight w:val="white"/>
                <w:rtl w:val="0"/>
              </w:rPr>
              <w:t xml:space="preserve">conclusive evidence</w:t>
            </w:r>
            <w:r w:rsidDel="00000000" w:rsidR="00000000" w:rsidRPr="00000000">
              <w:rPr>
                <w:rFonts w:ascii="Times New Roman" w:cs="Times New Roman" w:eastAsia="Times New Roman" w:hAnsi="Times New Roman"/>
                <w:color w:val="333333"/>
                <w:sz w:val="24"/>
                <w:szCs w:val="24"/>
                <w:highlight w:val="white"/>
                <w:rtl w:val="0"/>
              </w:rPr>
              <w:t xml:space="preserve"> that the eligible person has no liability.</w:t>
            </w:r>
          </w:p>
          <w:p w:rsidR="00000000" w:rsidDel="00000000" w:rsidP="00000000" w:rsidRDefault="00000000" w:rsidRPr="00000000" w14:paraId="0000001B">
            <w:pPr>
              <w:numPr>
                <w:ilvl w:val="2"/>
                <w:numId w:val="2"/>
              </w:numPr>
              <w:shd w:fill="ffffff" w:val="clear"/>
              <w:spacing w:after="0" w:afterAutospacing="0" w:before="0" w:beforeAutospacing="0" w:line="240" w:lineRule="auto"/>
              <w:ind w:left="2160" w:hanging="36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The department may not take action against the eligible person for releases at any property not identified in the site or any other disposal site.</w:t>
              <w:br w:type="textWrapping"/>
            </w:r>
          </w:p>
          <w:p w:rsidR="00000000" w:rsidDel="00000000" w:rsidP="00000000" w:rsidRDefault="00000000" w:rsidRPr="00000000" w14:paraId="0000001C">
            <w:pPr>
              <w:numPr>
                <w:ilvl w:val="1"/>
                <w:numId w:val="2"/>
              </w:numPr>
              <w:shd w:fill="ffffff" w:val="clear"/>
              <w:spacing w:after="0" w:afterAutospacing="0" w:before="0" w:beforeAutospacing="0" w:line="240" w:lineRule="auto"/>
              <w:ind w:left="1440" w:hanging="36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Regulatory Restrictions</w:t>
            </w:r>
            <w:r w:rsidDel="00000000" w:rsidR="00000000" w:rsidRPr="00000000">
              <w:rPr>
                <w:rFonts w:ascii="Times New Roman" w:cs="Times New Roman" w:eastAsia="Times New Roman" w:hAnsi="Times New Roman"/>
                <w:color w:val="333333"/>
                <w:sz w:val="24"/>
                <w:szCs w:val="24"/>
                <w:highlight w:val="white"/>
                <w:rtl w:val="0"/>
              </w:rPr>
              <w:t xml:space="preserve">:</w:t>
            </w:r>
          </w:p>
          <w:p w:rsidR="00000000" w:rsidDel="00000000" w:rsidP="00000000" w:rsidRDefault="00000000" w:rsidRPr="00000000" w14:paraId="0000001D">
            <w:pPr>
              <w:numPr>
                <w:ilvl w:val="2"/>
                <w:numId w:val="2"/>
              </w:numPr>
              <w:shd w:fill="ffffff" w:val="clear"/>
              <w:spacing w:after="240" w:before="0" w:beforeAutospacing="0" w:line="240" w:lineRule="auto"/>
              <w:ind w:left="2160" w:hanging="36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The department is prohibited from creating regulations related to this subsection, despite any general or special laws to the contrary.</w:t>
              <w:br w:type="textWrapping"/>
            </w:r>
          </w:p>
          <w:p w:rsidR="00000000" w:rsidDel="00000000" w:rsidP="00000000" w:rsidRDefault="00000000" w:rsidRPr="00000000" w14:paraId="0000001E">
            <w:pPr>
              <w:pStyle w:val="Heading3"/>
              <w:keepNext w:val="0"/>
              <w:keepLines w:val="0"/>
              <w:shd w:fill="ffffff" w:val="clear"/>
              <w:spacing w:before="280" w:line="240" w:lineRule="auto"/>
              <w:rPr>
                <w:rFonts w:ascii="Times New Roman" w:cs="Times New Roman" w:eastAsia="Times New Roman" w:hAnsi="Times New Roman"/>
                <w:b w:val="1"/>
                <w:color w:val="333333"/>
                <w:sz w:val="26"/>
                <w:szCs w:val="26"/>
                <w:highlight w:val="white"/>
              </w:rPr>
            </w:pPr>
            <w:bookmarkStart w:colFirst="0" w:colLast="0" w:name="_mnifq5yx1swk" w:id="2"/>
            <w:bookmarkEnd w:id="2"/>
            <w:r w:rsidDel="00000000" w:rsidR="00000000" w:rsidRPr="00000000">
              <w:rPr>
                <w:rFonts w:ascii="Times New Roman" w:cs="Times New Roman" w:eastAsia="Times New Roman" w:hAnsi="Times New Roman"/>
                <w:b w:val="1"/>
                <w:color w:val="333333"/>
                <w:sz w:val="26"/>
                <w:szCs w:val="26"/>
                <w:highlight w:val="white"/>
                <w:rtl w:val="0"/>
              </w:rPr>
              <w:t xml:space="preserve">SECTION 2:</w:t>
            </w:r>
          </w:p>
          <w:p w:rsidR="00000000" w:rsidDel="00000000" w:rsidP="00000000" w:rsidRDefault="00000000" w:rsidRPr="00000000" w14:paraId="0000001F">
            <w:pPr>
              <w:shd w:fill="ffffff" w:val="clear"/>
              <w:spacing w:after="240" w:before="240" w:line="240" w:lineRule="auto"/>
              <w:rPr>
                <w:rFonts w:ascii="Times New Roman" w:cs="Times New Roman" w:eastAsia="Times New Roman" w:hAnsi="Times New Roman"/>
                <w:b w:val="1"/>
                <w:color w:val="33333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Liability Exemption for Substantial Release Migration:</w:t>
            </w:r>
          </w:p>
          <w:p w:rsidR="00000000" w:rsidDel="00000000" w:rsidP="00000000" w:rsidRDefault="00000000" w:rsidRPr="00000000" w14:paraId="00000020">
            <w:pPr>
              <w:numPr>
                <w:ilvl w:val="0"/>
                <w:numId w:val="1"/>
              </w:numPr>
              <w:shd w:fill="ffffff" w:val="clear"/>
              <w:spacing w:after="0" w:afterAutospacing="0" w:before="240" w:line="240" w:lineRule="auto"/>
              <w:ind w:left="720" w:hanging="36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Subsection (a)</w:t>
            </w:r>
            <w:r w:rsidDel="00000000" w:rsidR="00000000" w:rsidRPr="00000000">
              <w:rPr>
                <w:rFonts w:ascii="Times New Roman" w:cs="Times New Roman" w:eastAsia="Times New Roman" w:hAnsi="Times New Roman"/>
                <w:color w:val="333333"/>
                <w:sz w:val="24"/>
                <w:szCs w:val="24"/>
                <w:highlight w:val="white"/>
                <w:rtl w:val="0"/>
              </w:rPr>
              <w:t xml:space="preserve">:</w:t>
            </w:r>
          </w:p>
          <w:p w:rsidR="00000000" w:rsidDel="00000000" w:rsidP="00000000" w:rsidRDefault="00000000" w:rsidRPr="00000000" w14:paraId="00000021">
            <w:pPr>
              <w:numPr>
                <w:ilvl w:val="1"/>
                <w:numId w:val="1"/>
              </w:numPr>
              <w:shd w:fill="ffffff" w:val="clear"/>
              <w:spacing w:after="0" w:afterAutospacing="0" w:before="0" w:beforeAutospacing="0" w:line="240" w:lineRule="auto"/>
              <w:ind w:left="1440" w:hanging="36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Exemption from Liability for Substantial Release Migration</w:t>
            </w:r>
            <w:r w:rsidDel="00000000" w:rsidR="00000000" w:rsidRPr="00000000">
              <w:rPr>
                <w:rFonts w:ascii="Times New Roman" w:cs="Times New Roman" w:eastAsia="Times New Roman" w:hAnsi="Times New Roman"/>
                <w:color w:val="333333"/>
                <w:sz w:val="24"/>
                <w:szCs w:val="24"/>
                <w:highlight w:val="white"/>
                <w:rtl w:val="0"/>
              </w:rPr>
              <w:t xml:space="preserve">:</w:t>
            </w:r>
          </w:p>
          <w:p w:rsidR="00000000" w:rsidDel="00000000" w:rsidP="00000000" w:rsidRDefault="00000000" w:rsidRPr="00000000" w14:paraId="00000022">
            <w:pPr>
              <w:numPr>
                <w:ilvl w:val="2"/>
                <w:numId w:val="1"/>
              </w:numPr>
              <w:shd w:fill="ffffff" w:val="clear"/>
              <w:spacing w:after="0" w:afterAutospacing="0" w:before="0" w:beforeAutospacing="0" w:line="240" w:lineRule="auto"/>
              <w:ind w:left="2160" w:hanging="36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No person will be held liable for substantial release migration at any property not previously identified as part of a disposal site, provided the </w:t>
            </w:r>
            <w:r w:rsidDel="00000000" w:rsidR="00000000" w:rsidRPr="00000000">
              <w:rPr>
                <w:rFonts w:ascii="Times New Roman" w:cs="Times New Roman" w:eastAsia="Times New Roman" w:hAnsi="Times New Roman"/>
                <w:b w:val="1"/>
                <w:color w:val="333333"/>
                <w:sz w:val="24"/>
                <w:szCs w:val="24"/>
                <w:highlight w:val="white"/>
                <w:rtl w:val="0"/>
              </w:rPr>
              <w:t xml:space="preserve">Department of Environmental Protection (DEP)</w:t>
            </w:r>
            <w:r w:rsidDel="00000000" w:rsidR="00000000" w:rsidRPr="00000000">
              <w:rPr>
                <w:rFonts w:ascii="Times New Roman" w:cs="Times New Roman" w:eastAsia="Times New Roman" w:hAnsi="Times New Roman"/>
                <w:color w:val="333333"/>
                <w:sz w:val="24"/>
                <w:szCs w:val="24"/>
                <w:highlight w:val="white"/>
                <w:rtl w:val="0"/>
              </w:rPr>
              <w:t xml:space="preserve">:</w:t>
            </w:r>
          </w:p>
          <w:p w:rsidR="00000000" w:rsidDel="00000000" w:rsidP="00000000" w:rsidRDefault="00000000" w:rsidRPr="00000000" w14:paraId="00000023">
            <w:pPr>
              <w:numPr>
                <w:ilvl w:val="3"/>
                <w:numId w:val="1"/>
              </w:numPr>
              <w:shd w:fill="ffffff" w:val="clear"/>
              <w:spacing w:after="0" w:afterAutospacing="0" w:before="0" w:beforeAutospacing="0" w:line="240" w:lineRule="auto"/>
              <w:ind w:left="2880" w:hanging="36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Conducted an audit of the response actions at the site or part of it before the effective date of the act.</w:t>
            </w:r>
          </w:p>
          <w:p w:rsidR="00000000" w:rsidDel="00000000" w:rsidP="00000000" w:rsidRDefault="00000000" w:rsidRPr="00000000" w14:paraId="00000024">
            <w:pPr>
              <w:numPr>
                <w:ilvl w:val="3"/>
                <w:numId w:val="1"/>
              </w:numPr>
              <w:shd w:fill="ffffff" w:val="clear"/>
              <w:spacing w:after="0" w:afterAutospacing="0" w:before="0" w:beforeAutospacing="0" w:line="240" w:lineRule="auto"/>
              <w:ind w:left="2880" w:hanging="36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Determined that a </w:t>
            </w:r>
            <w:r w:rsidDel="00000000" w:rsidR="00000000" w:rsidRPr="00000000">
              <w:rPr>
                <w:rFonts w:ascii="Times New Roman" w:cs="Times New Roman" w:eastAsia="Times New Roman" w:hAnsi="Times New Roman"/>
                <w:b w:val="1"/>
                <w:color w:val="333333"/>
                <w:sz w:val="24"/>
                <w:szCs w:val="24"/>
                <w:highlight w:val="white"/>
                <w:rtl w:val="0"/>
              </w:rPr>
              <w:t xml:space="preserve">permanent solution</w:t>
            </w:r>
            <w:r w:rsidDel="00000000" w:rsidR="00000000" w:rsidRPr="00000000">
              <w:rPr>
                <w:rFonts w:ascii="Times New Roman" w:cs="Times New Roman" w:eastAsia="Times New Roman" w:hAnsi="Times New Roman"/>
                <w:color w:val="333333"/>
                <w:sz w:val="24"/>
                <w:szCs w:val="24"/>
                <w:highlight w:val="white"/>
                <w:rtl w:val="0"/>
              </w:rPr>
              <w:t xml:space="preserve"> or </w:t>
            </w:r>
            <w:r w:rsidDel="00000000" w:rsidR="00000000" w:rsidRPr="00000000">
              <w:rPr>
                <w:rFonts w:ascii="Times New Roman" w:cs="Times New Roman" w:eastAsia="Times New Roman" w:hAnsi="Times New Roman"/>
                <w:b w:val="1"/>
                <w:color w:val="333333"/>
                <w:sz w:val="24"/>
                <w:szCs w:val="24"/>
                <w:highlight w:val="white"/>
                <w:rtl w:val="0"/>
              </w:rPr>
              <w:t xml:space="preserve">remedy operations status</w:t>
            </w:r>
            <w:r w:rsidDel="00000000" w:rsidR="00000000" w:rsidRPr="00000000">
              <w:rPr>
                <w:rFonts w:ascii="Times New Roman" w:cs="Times New Roman" w:eastAsia="Times New Roman" w:hAnsi="Times New Roman"/>
                <w:color w:val="333333"/>
                <w:sz w:val="24"/>
                <w:szCs w:val="24"/>
                <w:highlight w:val="white"/>
                <w:rtl w:val="0"/>
              </w:rPr>
              <w:t xml:space="preserve"> was achieved and maintained in accordance with a waste site cleanup activity opinion or any related notification.</w:t>
            </w:r>
          </w:p>
          <w:p w:rsidR="00000000" w:rsidDel="00000000" w:rsidP="00000000" w:rsidRDefault="00000000" w:rsidRPr="00000000" w14:paraId="00000025">
            <w:pPr>
              <w:numPr>
                <w:ilvl w:val="3"/>
                <w:numId w:val="1"/>
              </w:numPr>
              <w:shd w:fill="ffffff" w:val="clear"/>
              <w:spacing w:after="0" w:afterAutospacing="0" w:before="0" w:beforeAutospacing="0" w:line="240" w:lineRule="auto"/>
              <w:ind w:left="2880" w:hanging="36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Notified the person of any violation identified and promptly corrected.</w:t>
              <w:br w:type="textWrapping"/>
            </w:r>
          </w:p>
          <w:p w:rsidR="00000000" w:rsidDel="00000000" w:rsidP="00000000" w:rsidRDefault="00000000" w:rsidRPr="00000000" w14:paraId="00000026">
            <w:pPr>
              <w:numPr>
                <w:ilvl w:val="0"/>
                <w:numId w:val="1"/>
              </w:numPr>
              <w:shd w:fill="ffffff" w:val="clear"/>
              <w:spacing w:after="0" w:afterAutospacing="0" w:before="0" w:beforeAutospacing="0" w:line="240" w:lineRule="auto"/>
              <w:ind w:left="720" w:hanging="36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Subsection (b)</w:t>
            </w:r>
            <w:r w:rsidDel="00000000" w:rsidR="00000000" w:rsidRPr="00000000">
              <w:rPr>
                <w:rFonts w:ascii="Times New Roman" w:cs="Times New Roman" w:eastAsia="Times New Roman" w:hAnsi="Times New Roman"/>
                <w:color w:val="333333"/>
                <w:sz w:val="24"/>
                <w:szCs w:val="24"/>
                <w:highlight w:val="white"/>
                <w:rtl w:val="0"/>
              </w:rPr>
              <w:t xml:space="preserve">:</w:t>
              <w:br w:type="textWrapping"/>
            </w:r>
            <w:r w:rsidDel="00000000" w:rsidR="00000000" w:rsidRPr="00000000">
              <w:rPr>
                <w:rFonts w:ascii="Times New Roman" w:cs="Times New Roman" w:eastAsia="Times New Roman" w:hAnsi="Times New Roman"/>
                <w:b w:val="1"/>
                <w:color w:val="333333"/>
                <w:sz w:val="24"/>
                <w:szCs w:val="24"/>
                <w:highlight w:val="white"/>
                <w:rtl w:val="0"/>
              </w:rPr>
              <w:t xml:space="preserve">No Defense for DEP</w:t>
            </w:r>
            <w:r w:rsidDel="00000000" w:rsidR="00000000" w:rsidRPr="00000000">
              <w:rPr>
                <w:rFonts w:ascii="Times New Roman" w:cs="Times New Roman" w:eastAsia="Times New Roman" w:hAnsi="Times New Roman"/>
                <w:color w:val="333333"/>
                <w:sz w:val="24"/>
                <w:szCs w:val="24"/>
                <w:highlight w:val="white"/>
                <w:rtl w:val="0"/>
              </w:rPr>
              <w:t xml:space="preserve">:</w:t>
            </w:r>
          </w:p>
          <w:p w:rsidR="00000000" w:rsidDel="00000000" w:rsidP="00000000" w:rsidRDefault="00000000" w:rsidRPr="00000000" w14:paraId="00000027">
            <w:pPr>
              <w:numPr>
                <w:ilvl w:val="2"/>
                <w:numId w:val="1"/>
              </w:numPr>
              <w:shd w:fill="ffffff" w:val="clear"/>
              <w:spacing w:after="240" w:before="0" w:beforeAutospacing="0" w:line="240" w:lineRule="auto"/>
              <w:ind w:left="2160" w:hanging="36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The DEP cannot use any defense or present evidence to contest the liability of an eligible person if a </w:t>
            </w:r>
            <w:r w:rsidDel="00000000" w:rsidR="00000000" w:rsidRPr="00000000">
              <w:rPr>
                <w:rFonts w:ascii="Times New Roman" w:cs="Times New Roman" w:eastAsia="Times New Roman" w:hAnsi="Times New Roman"/>
                <w:b w:val="1"/>
                <w:color w:val="333333"/>
                <w:sz w:val="24"/>
                <w:szCs w:val="24"/>
                <w:highlight w:val="white"/>
                <w:rtl w:val="0"/>
              </w:rPr>
              <w:t xml:space="preserve">permanent solution</w:t>
            </w:r>
            <w:r w:rsidDel="00000000" w:rsidR="00000000" w:rsidRPr="00000000">
              <w:rPr>
                <w:rFonts w:ascii="Times New Roman" w:cs="Times New Roman" w:eastAsia="Times New Roman" w:hAnsi="Times New Roman"/>
                <w:color w:val="333333"/>
                <w:sz w:val="24"/>
                <w:szCs w:val="24"/>
                <w:highlight w:val="white"/>
                <w:rtl w:val="0"/>
              </w:rPr>
              <w:t xml:space="preserve"> or </w:t>
            </w:r>
            <w:r w:rsidDel="00000000" w:rsidR="00000000" w:rsidRPr="00000000">
              <w:rPr>
                <w:rFonts w:ascii="Times New Roman" w:cs="Times New Roman" w:eastAsia="Times New Roman" w:hAnsi="Times New Roman"/>
                <w:b w:val="1"/>
                <w:color w:val="333333"/>
                <w:sz w:val="24"/>
                <w:szCs w:val="24"/>
                <w:highlight w:val="white"/>
                <w:rtl w:val="0"/>
              </w:rPr>
              <w:t xml:space="preserve">remedy operations status</w:t>
            </w:r>
            <w:r w:rsidDel="00000000" w:rsidR="00000000" w:rsidRPr="00000000">
              <w:rPr>
                <w:rFonts w:ascii="Times New Roman" w:cs="Times New Roman" w:eastAsia="Times New Roman" w:hAnsi="Times New Roman"/>
                <w:color w:val="333333"/>
                <w:sz w:val="24"/>
                <w:szCs w:val="24"/>
                <w:highlight w:val="white"/>
                <w:rtl w:val="0"/>
              </w:rPr>
              <w:t xml:space="preserve"> was achieved and maintained.</w:t>
            </w:r>
          </w:p>
          <w:p w:rsidR="00000000" w:rsidDel="00000000" w:rsidP="00000000" w:rsidRDefault="00000000" w:rsidRPr="00000000" w14:paraId="00000028">
            <w:pPr>
              <w:shd w:fill="ffffff" w:val="clear"/>
              <w:spacing w:after="200" w:line="240" w:lineRule="auto"/>
              <w:ind w:left="0" w:firstLine="0"/>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29">
            <w:pPr>
              <w:spacing w:after="240" w:before="240" w:lineRule="auto"/>
              <w:rPr>
                <w:rFonts w:ascii="Times New Roman" w:cs="Times New Roman" w:eastAsia="Times New Roman" w:hAnsi="Times New Roman"/>
                <w:sz w:val="24"/>
                <w:szCs w:val="24"/>
                <w:highlight w:val="white"/>
              </w:rPr>
            </w:pPr>
            <w:r w:rsidDel="00000000" w:rsidR="00000000" w:rsidRPr="00000000">
              <w:rPr>
                <w:rtl w:val="0"/>
              </w:rPr>
            </w:r>
          </w:p>
        </w:tc>
      </w:tr>
      <w:tr>
        <w:trPr>
          <w:cantSplit w:val="0"/>
          <w:trHeight w:val="3167.402343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B">
            <w:pPr>
              <w:spacing w:after="240" w:before="240" w:lineRule="auto"/>
              <w:rPr>
                <w:rFonts w:ascii="Times New Roman" w:cs="Times New Roman" w:eastAsia="Times New Roman" w:hAnsi="Times New Roman"/>
                <w:b w:val="1"/>
                <w:sz w:val="24"/>
                <w:szCs w:val="24"/>
                <w:u w:val="single"/>
              </w:rPr>
            </w:pPr>
            <w:r w:rsidDel="00000000" w:rsidR="00000000" w:rsidRPr="00000000">
              <w:rPr>
                <w:rtl w:val="0"/>
              </w:rPr>
            </w:r>
          </w:p>
        </w:tc>
      </w:tr>
    </w:tbl>
    <w:p w:rsidR="00000000" w:rsidDel="00000000" w:rsidP="00000000" w:rsidRDefault="00000000" w:rsidRPr="00000000" w14:paraId="0000002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