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3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735"/>
        <w:tblGridChange w:id="0">
          <w:tblGrid>
            <w:gridCol w:w="2595"/>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1049</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promoting drinking water quality for all</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Sena </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H.900, by Representative Blais and S.585, by Senator Eldridge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S2667; sent to study by ENRA (study order S2807)</w:t>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H902; sent to study by ENR (study order H4668)</w:t>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292.3120117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0" w:before="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14">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w:t>
            </w:r>
            <w:r w:rsidDel="00000000" w:rsidR="00000000" w:rsidRPr="00000000">
              <w:rPr>
                <w:rFonts w:ascii="Times New Roman" w:cs="Times New Roman" w:eastAsia="Times New Roman" w:hAnsi="Times New Roman"/>
                <w:sz w:val="24"/>
                <w:szCs w:val="24"/>
                <w:rtl w:val="0"/>
              </w:rPr>
              <w:t xml:space="preserve">21G</w:t>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tl w:val="0"/>
              </w:rPr>
              <w:t xml:space="preserve">MGL</w:t>
            </w:r>
            <w:r w:rsidDel="00000000" w:rsidR="00000000" w:rsidRPr="00000000">
              <w:rPr>
                <w:rFonts w:ascii="Times New Roman" w:cs="Times New Roman" w:eastAsia="Times New Roman" w:hAnsi="Times New Roman"/>
                <w:sz w:val="24"/>
                <w:szCs w:val="24"/>
                <w:rtl w:val="0"/>
              </w:rPr>
              <w:t xml:space="preserve"> to direct the Department of Environmental Protection (DEP) to promulgate regulations establishing minimum standards for a statewide private wells code, which both DEP and local boards of health would have concurrent authority to enforce against violators.</w:t>
            </w:r>
          </w:p>
          <w:p w:rsidR="00000000" w:rsidDel="00000000" w:rsidP="00000000" w:rsidRDefault="00000000" w:rsidRPr="00000000" w14:paraId="00000015">
            <w:pPr>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code allows certified well drillers registered in the Commonwealth to construct or modify private wells, and also allows DEP to opt not to conduct private well inspections if the transfer is of residential property between current spouses, parents and their children, full siblings, or where the grantor has transferred real property to be held in a revocable or irrevocable trust where at least one of the designated beneficiaries is of the first degree of relationship to the grantor.</w:t>
            </w:r>
          </w:p>
          <w:p w:rsidR="00000000" w:rsidDel="00000000" w:rsidP="00000000" w:rsidRDefault="00000000" w:rsidRPr="00000000" w14:paraId="00000017">
            <w:pPr>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after="0" w:before="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4"/>
                <w:szCs w:val="24"/>
                <w:rtl w:val="0"/>
              </w:rPr>
              <w:t xml:space="preserve">The bill also amends the Title V loan fund to make homeowners with private wells eligible for remediation assistance to ensure that they meet DEP's primary drinking water standards as required under MGL Ch 21G Section 21.</w:t>
            </w: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