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1051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w:t>
            </w:r>
            <w:r w:rsidDel="00000000" w:rsidR="00000000" w:rsidRPr="00000000">
              <w:rPr>
                <w:rFonts w:ascii="Times New Roman" w:cs="Times New Roman" w:eastAsia="Times New Roman" w:hAnsi="Times New Roman"/>
                <w:sz w:val="24"/>
                <w:szCs w:val="24"/>
                <w:rtl w:val="0"/>
              </w:rPr>
              <w:t xml:space="preserve">to create a commission to determine the feasibility of voluntary acquisition of flood risk properties and structures</w:t>
            </w: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Shand</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2021-2022: Filed as H983/S603; favorably redrafted by ENRA as H4744; referred to HWM </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H876; reported favorably by ENR; referred to the committee on House Rules</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u w:val="single"/>
                <w:rtl w:val="0"/>
              </w:rPr>
              <w:t xml:space="preserve">SUMMARY</w:t>
            </w:r>
            <w:r w:rsidDel="00000000" w:rsidR="00000000" w:rsidRPr="00000000">
              <w:rPr>
                <w:rtl w:val="0"/>
              </w:rPr>
            </w:r>
          </w:p>
          <w:p w:rsidR="00000000" w:rsidDel="00000000" w:rsidP="00000000" w:rsidRDefault="00000000" w:rsidRPr="00000000" w14:paraId="00000011">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establishes the Voluntary Acquisition of Flood Risk Properties Commission, which is tasked with assessing the advantages and disadvantages of voluntary acquisition of flood risk properties and structures across the commonwealth, examining the feasibility of such a program, and identifying the components of such a program. The commission will be overseen and implemented by the EEA Secretary, State Climate Chief, and Director of MEMA, and all meetings shall be open to the public with a remote participation option available, with the first meeting date scheduled for no later than September 1, 2025.  </w:t>
            </w:r>
          </w:p>
          <w:p w:rsidR="00000000" w:rsidDel="00000000" w:rsidP="00000000" w:rsidRDefault="00000000" w:rsidRPr="00000000" w14:paraId="00000012">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final report detailing the commission's findings, recommendations, and drafts of legislation necessary to carry out such recommendations must be filed with the House and Senate.</w:t>
            </w:r>
          </w:p>
          <w:p w:rsidR="00000000" w:rsidDel="00000000" w:rsidP="00000000" w:rsidRDefault="00000000" w:rsidRPr="00000000" w14:paraId="00000013">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Clerks, the ENRA Committee, the Joint Committee on Housing, and the Joint Committee on Public Safety and Homeland Security no later than June 1, 2026.  </w:t>
            </w:r>
          </w:p>
          <w:p w:rsidR="00000000" w:rsidDel="00000000" w:rsidP="00000000" w:rsidRDefault="00000000" w:rsidRPr="00000000" w14:paraId="00000014">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commission shall be established on July 5, 2025.</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