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35"/>
        <w:tblGridChange w:id="0">
          <w:tblGrid>
            <w:gridCol w:w="2610"/>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1052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Style w:val="Heading2"/>
              <w:keepNext w:val="0"/>
              <w:keepLines w:val="0"/>
              <w:shd w:fill="ffffff" w:val="clear"/>
              <w:spacing w:after="0" w:before="0" w:line="264" w:lineRule="auto"/>
              <w:rPr>
                <w:rFonts w:ascii="Times New Roman" w:cs="Times New Roman" w:eastAsia="Times New Roman" w:hAnsi="Times New Roman"/>
                <w:sz w:val="24"/>
                <w:szCs w:val="24"/>
              </w:rPr>
            </w:pPr>
            <w:bookmarkStart w:colFirst="0" w:colLast="0" w:name="_cmzt2x5yyxtj" w:id="0"/>
            <w:bookmarkEnd w:id="0"/>
            <w:r w:rsidDel="00000000" w:rsidR="00000000" w:rsidRPr="00000000">
              <w:rPr>
                <w:rFonts w:ascii="Times New Roman" w:cs="Times New Roman" w:eastAsia="Times New Roman" w:hAnsi="Times New Roman"/>
                <w:sz w:val="24"/>
                <w:szCs w:val="24"/>
                <w:rtl w:val="0"/>
              </w:rPr>
              <w:t xml:space="preserve">An Act accelerating wetlands restoration</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Shand</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S.557, Senator Crighton</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Fonts w:ascii="Times New Roman" w:cs="Times New Roman" w:eastAsia="Times New Roman" w:hAnsi="Times New Roman"/>
                <w:sz w:val="24"/>
                <w:szCs w:val="24"/>
                <w:rtl w:val="0"/>
              </w:rPr>
              <w:t xml:space="preserve">; Similar to H.5036 from last session which was heard late and reported to the House Committee on Steering, Policy and Scheduling</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amends Section 18 of Chapter 91 in MGL to exempt certain ecological restoration projects from requiring a license or permit for dredging or filling in tidelands, including salt marsh restoration. Projects must be permitted under existing environmental regulations and cannot impair public access, navigation, or involve structural placement.</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further amends Section 40 of Chapter 131; Targeted hand removal of invasive, non-native plants from resource areas are exempt from requiring a notice of intention under wetlands protection laws. The Department of Environmental Protection (DEP) can issue regulations specifying methods, notification requirements, and competency standards for individuals performing invasive plant removal.</w:t>
            </w:r>
          </w:p>
          <w:p w:rsidR="00000000" w:rsidDel="00000000" w:rsidP="00000000" w:rsidRDefault="00000000" w:rsidRPr="00000000" w14:paraId="00000013">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directs the Secretary of Energy and Environmental Affairs (EEA) to implement a Wetlands Restoration Streamlining Initiative to improve the efficiency and reduce costs of permitting and monitoring ecological restoration projects. This requires a comprehensive review of laws and regulations governing wetlands and waterways, with input from experts and practitioners. Within a year of this bill’s enactment, the secretary will issue a report with recommendations for legislative and regulatory amendments to better streamline the permitting of ecological restoration projects.</w:t>
            </w:r>
          </w:p>
          <w:p w:rsidR="00000000" w:rsidDel="00000000" w:rsidP="00000000" w:rsidRDefault="00000000" w:rsidRPr="00000000" w14:paraId="00000014">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Executive Office of Energy and Environmental Affairs </w:t>
            </w:r>
            <w:r w:rsidDel="00000000" w:rsidR="00000000" w:rsidRPr="00000000">
              <w:rPr>
                <w:rFonts w:ascii="Times New Roman" w:cs="Times New Roman" w:eastAsia="Times New Roman" w:hAnsi="Times New Roman"/>
                <w:sz w:val="24"/>
                <w:szCs w:val="24"/>
                <w:rtl w:val="0"/>
              </w:rPr>
              <w:t xml:space="preserve">will establish a five-year pilot program for research and demonstration projects on nature-based solutions, prioritizing conservation benefits and minimizing wetland impacts. This program requires annual reporting on project categories, permit approval times, modified standards, and effectiveness data. The Secretary of EEA will submit an annual report detailing program updates to the</w:t>
            </w:r>
            <w:r w:rsidDel="00000000" w:rsidR="00000000" w:rsidRPr="00000000">
              <w:rPr>
                <w:rFonts w:ascii="Times New Roman" w:cs="Times New Roman" w:eastAsia="Times New Roman" w:hAnsi="Times New Roman"/>
                <w:sz w:val="24"/>
                <w:szCs w:val="24"/>
                <w:highlight w:val="white"/>
                <w:rtl w:val="0"/>
              </w:rPr>
              <w:t xml:space="preserve"> clerks of the Senate and House of Representatives and the Joint Committee on Environment and Natural Resources.</w:t>
            </w:r>
            <w:r w:rsidDel="00000000" w:rsidR="00000000" w:rsidRPr="00000000">
              <w:rPr>
                <w:rtl w:val="0"/>
              </w:rPr>
            </w:r>
          </w:p>
        </w:tc>
      </w:tr>
    </w:tbl>
    <w:p w:rsidR="00000000" w:rsidDel="00000000" w:rsidP="00000000" w:rsidRDefault="00000000" w:rsidRPr="00000000" w14:paraId="00000016">
      <w:pPr>
        <w:spacing w:after="240" w:before="240" w:lineRule="auto"/>
        <w:ind w:left="0" w:firstLine="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