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Bill Summary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__________________________________________________________________</w:t>
      </w:r>
    </w:p>
    <w:tbl>
      <w:tblPr>
        <w:tblStyle w:val="Table1"/>
        <w:tblW w:w="9345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45"/>
        <w:gridCol w:w="6900"/>
        <w:tblGridChange w:id="0">
          <w:tblGrid>
            <w:gridCol w:w="2445"/>
            <w:gridCol w:w="690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House, No. 1054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 An Act providing parks pass waiver for veterans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SPONSORS</w:t>
            </w:r>
            <w:r w:rsidDel="00000000" w:rsidR="00000000" w:rsidRPr="00000000">
              <w:rPr>
                <w:rtl w:val="0"/>
              </w:rPr>
              <w:t xml:space="preserve">                   </w:t>
            </w:r>
            <w:r w:rsidDel="00000000" w:rsidR="00000000" w:rsidRPr="00000000">
              <w:rPr>
                <w:rtl w:val="0"/>
              </w:rPr>
              <w:t xml:space="preserve"> Representatives Silvia of Fall River, </w:t>
            </w:r>
            <w:r w:rsidDel="00000000" w:rsidR="00000000" w:rsidRPr="00000000">
              <w:rPr>
                <w:rtl w:val="0"/>
              </w:rPr>
              <w:t xml:space="preserve">Representative DeCoste of Norwell, Representative Flanagan of Dennis, Representative Gallagher of Bridgewater, Representative Xiarhos of Barnstable, Representative Elliott of Lowell, Representative McKenna of Sutton, </w:t>
            </w:r>
            <w:r w:rsidDel="00000000" w:rsidR="00000000" w:rsidRPr="00000000">
              <w:rPr>
                <w:rtl w:val="0"/>
              </w:rPr>
              <w:t xml:space="preserve">Representative Hendricks of New Bedford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PRIOR HISTORY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2023-2024: Filed as H.901;</w:t>
            </w:r>
            <w:r w:rsidDel="00000000" w:rsidR="00000000" w:rsidRPr="00000000">
              <w:rPr>
                <w:rtl w:val="0"/>
              </w:rPr>
              <w:t xml:space="preserve"> sent to study by ENR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1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This legislation exempts veterans from DCR park and recreation entrance fees.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