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45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885"/>
        <w:tblGridChange w:id="0">
          <w:tblGrid>
            <w:gridCol w:w="2565"/>
            <w:gridCol w:w="688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1056</w:t>
            </w:r>
          </w:p>
        </w:tc>
      </w:tr>
      <w:tr>
        <w:trPr>
          <w:cantSplit w:val="0"/>
          <w:trHeight w:val="7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conservation of striped bass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Stanley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H759; redrafted as H4169 by ENRA; referred to HWM where no further action was taken</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H466; redrafted as H4274 by ENRA; referred to HWM where no further action was taken</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H877; reported favorably by ENRA accompanying H876; referred to HWM where no further action was taken</w:t>
            </w:r>
          </w:p>
          <w:p w:rsidR="00000000" w:rsidDel="00000000" w:rsidP="00000000" w:rsidRDefault="00000000" w:rsidRPr="00000000" w14:paraId="0000000F">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H1013; reported favorably by ENRA accompanying H1014; referred to HWM where no further action was taken</w:t>
            </w:r>
          </w:p>
          <w:p w:rsidR="00000000" w:rsidDel="00000000" w:rsidP="00000000" w:rsidRDefault="00000000" w:rsidRPr="00000000" w14:paraId="00000010">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H907; reported favorably by ENR; referred to HWM where no further action was taken</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100A of Chapter 130, by striking the section in its entirety.</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100A details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commercial harvesting and sale of wild striped bass is prohibited in Massachusetts, except as permitted under Section 100A½.  The Director of Marine Fisheries (DMF), with approval from the Marine Fisheries Advisory Commission, will establish regulations for the recreational angling of wild striped bass.  All striped bass raised through aquaculture and sold in the Commonwealth must carry a tag identifying the grower or distributor. This ensures traceability and distinguishes farm-raised fish from wild-caught ones.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regulations under this section will result in strict penalties. A first offense carries a fine of at least $200 per fish, the second offense $500 per fish, and subsequent offenses $1,000 per fish or imprisonment for up to 60 days, or both. Fines for violations cannot be reduced.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100A½ notes regulations on the commercial harvesting and sale of wild striped bass, and is only allowed for individuals who held a commercial license as of </w:t>
            </w:r>
            <w:r w:rsidDel="00000000" w:rsidR="00000000" w:rsidRPr="00000000">
              <w:rPr>
                <w:rFonts w:ascii="Times New Roman" w:cs="Times New Roman" w:eastAsia="Times New Roman" w:hAnsi="Times New Roman"/>
                <w:sz w:val="24"/>
                <w:szCs w:val="24"/>
                <w:rtl w:val="0"/>
              </w:rPr>
              <w:t xml:space="preserve">December 31, 202</w:t>
            </w:r>
            <w:r w:rsidDel="00000000" w:rsidR="00000000" w:rsidRPr="00000000">
              <w:rPr>
                <w:rFonts w:ascii="Times New Roman" w:cs="Times New Roman" w:eastAsia="Times New Roman" w:hAnsi="Times New Roman"/>
                <w:sz w:val="24"/>
                <w:szCs w:val="24"/>
                <w:rtl w:val="0"/>
              </w:rPr>
              <w:t xml:space="preserve">4, and who can prove an average annual landing and sale of over 1,000 pounds of striped bass in the past five years.  DMF may grant hardship exceptions if a license holder can justify a lower catch average due to legitimate circumstances.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Catch limits for qualifying commercial fishermen will be based on their individual five-year average landings.  If a license holder retires, their average catch amount will be subtracted from the total allowable commercial harvest.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commercial licenses will be issued, and existing licenses cannot be transferred or sold. Additionally, any license holder who fails to report a catch or reports no catch for two consecutive years will not have their license renewed.</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fishermen are required to report their catch annually within 90 days of the close of the commercial season.  Failure to do so will result in non-renewal of the license for the next season unless a legitimate hardship can be demonstrated and accepted by the Director.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DMF and the Marine Fisheries Advisory Board retain authority to limit, restrict, or suspend both commercial and recreational striped bass fishing if fishery sustainability is at risk.  Lastly, no commercial striped bass licenses will be issued after January 1, 2029.</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rFonts w:ascii="Times New Roman" w:cs="Times New Roman" w:eastAsia="Times New Roman" w:hAnsi="Times New Roman"/>
                <w:b w:val="1"/>
                <w:sz w:val="24"/>
                <w:szCs w:val="24"/>
                <w:u w:val="single"/>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