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b w:val="1"/>
        </w:rPr>
      </w:pPr>
      <w:r w:rsidDel="00000000" w:rsidR="00000000" w:rsidRPr="00000000">
        <w:rPr>
          <w:rFonts w:ascii="Times New Roman" w:cs="Times New Roman" w:eastAsia="Times New Roman" w:hAnsi="Times New Roman"/>
          <w:b w:val="1"/>
          <w:sz w:val="24"/>
          <w:szCs w:val="24"/>
          <w:rtl w:val="0"/>
        </w:rPr>
        <w:t xml:space="preserve">Bill Summary</w:t>
      </w:r>
      <w:r w:rsidDel="00000000" w:rsidR="00000000" w:rsidRPr="00000000">
        <w:rPr>
          <w:b w:val="1"/>
          <w:sz w:val="28"/>
          <w:szCs w:val="28"/>
          <w:rtl w:val="0"/>
        </w:rPr>
        <w:br w:type="textWrapping"/>
      </w:r>
      <w:r w:rsidDel="00000000" w:rsidR="00000000" w:rsidRPr="00000000">
        <w:rPr>
          <w:rtl w:val="0"/>
        </w:rPr>
        <w:t xml:space="preserve"> </w:t>
      </w:r>
      <w:r w:rsidDel="00000000" w:rsidR="00000000" w:rsidRPr="00000000">
        <w:rPr>
          <w:b w:val="1"/>
          <w:rtl w:val="0"/>
        </w:rPr>
        <w:t xml:space="preserve">__________________________________________________________________</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0"/>
        <w:gridCol w:w="6720"/>
        <w:tblGridChange w:id="0">
          <w:tblGrid>
            <w:gridCol w:w="2640"/>
            <w:gridCol w:w="672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1058</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a cranberry water use transfer program</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Sylvia</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S.602, Senator Fernandes </w:t>
            </w:r>
          </w:p>
        </w:tc>
      </w:tr>
      <w:tr>
        <w:trPr>
          <w:cantSplit w:val="0"/>
          <w:trHeight w:val="78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D">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2017-2018: Filed as H2151; Accompanied a study order (H.4530)</w:t>
            </w:r>
          </w:p>
          <w:p w:rsidR="00000000" w:rsidDel="00000000" w:rsidP="00000000" w:rsidRDefault="00000000" w:rsidRPr="00000000" w14:paraId="0000000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H881; Accompanied a study order (H.5078)</w:t>
            </w:r>
          </w:p>
          <w:p w:rsidR="00000000" w:rsidDel="00000000" w:rsidP="00000000" w:rsidRDefault="00000000" w:rsidRPr="00000000" w14:paraId="0000000F">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H1017; Reported favorably as redrafted (H.4599) and referred to HWM; </w:t>
            </w:r>
          </w:p>
          <w:p w:rsidR="00000000" w:rsidDel="00000000" w:rsidP="00000000" w:rsidRDefault="00000000" w:rsidRPr="00000000" w14:paraId="00000010">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H909; Discharged to the Joint Committee on Agriculture, Senate concurred</w:t>
            </w:r>
            <w:r w:rsidDel="00000000" w:rsidR="00000000" w:rsidRPr="00000000">
              <w:rPr>
                <w:rtl w:val="0"/>
              </w:rPr>
            </w:r>
          </w:p>
        </w:tc>
      </w:tr>
      <w:tr>
        <w:trPr>
          <w:cantSplit w:val="0"/>
          <w:trHeight w:val="291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3">
            <w:pPr>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sz w:val="24"/>
                <w:szCs w:val="24"/>
                <w:rtl w:val="0"/>
              </w:rPr>
              <w:t xml:space="preserve">The Executive Office of Energy and Environmental Affairs will authorize that cranberry water use registrations and permits can be transferred for mitigation by other municipal permitted or registered users within the same watershed, pursuant to MGL Chapter 21G (Massachusetts Water Management Act). Users must obtain the necessary registrations and permits in accordance with MGL Chapter 21G for the new water use. </w:t>
            </w: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