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630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7125"/>
        <w:tblGridChange w:id="0">
          <w:tblGrid>
            <w:gridCol w:w="2505"/>
            <w:gridCol w:w="71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1062</w:t>
            </w:r>
          </w:p>
        </w:tc>
      </w:tr>
      <w:tr>
        <w:trPr>
          <w:cantSplit w:val="0"/>
          <w:trHeight w:val="885.94726562500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hd w:fill="ffffff" w:val="clear"/>
              <w:spacing w:after="160" w:before="300" w:line="264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bookmarkStart w:colFirst="0" w:colLast="0" w:name="_sfjskrp1p30c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An Act relative to hunting with artificial light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Vieira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734.4921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2017-2018: Filed as H473; Reported favorably by ENRA; Referred to SWM where no further action was taken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H890; Accompanied a study order (H5013)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H1021; Accompanied a study order (H5041)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H921; Accompanied a study order (H4555)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adds coyotes to the list of animals that can be hunted with artificial light.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