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630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7125"/>
        <w:tblGridChange w:id="0">
          <w:tblGrid>
            <w:gridCol w:w="2505"/>
            <w:gridCol w:w="71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1062</w:t>
            </w:r>
          </w:p>
        </w:tc>
      </w:tr>
      <w:tr>
        <w:trPr>
          <w:cantSplit w:val="0"/>
          <w:trHeight w:val="885.947265625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bookmarkStart w:colFirst="0" w:colLast="0" w:name="_sfjskrp1p30c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An Act relative to hunting with artificial light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Vieira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734.4921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2017-2018: Filed as H473; Reported favorably by ENRA; Referred to SWM where no further action was taken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H890; Accompanied a study order (H5013)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H1021; Accompanied a study order (H5041)</w:t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H921; Accompanied a study order (H4555)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adds coyotes to the list of animals that can be hunted with artificial light.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