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336.5638766519824"/>
        <w:gridCol w:w="7023.436123348018"/>
        <w:tblGridChange w:id="0">
          <w:tblGrid>
            <w:gridCol w:w="2336.5638766519824"/>
            <w:gridCol w:w="7023.436123348018"/>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BILL NUMBER</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No. 1063</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TITLE</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264" w:lineRule="auto"/>
              <w:rPr>
                <w:rFonts w:ascii="Times New Roman" w:cs="Times New Roman" w:eastAsia="Times New Roman" w:hAnsi="Times New Roman"/>
              </w:rPr>
            </w:pPr>
            <w:bookmarkStart w:colFirst="0" w:colLast="0" w:name="_6l7cv9uoixc5" w:id="0"/>
            <w:bookmarkEnd w:id="0"/>
            <w:r w:rsidDel="00000000" w:rsidR="00000000" w:rsidRPr="00000000">
              <w:rPr>
                <w:rFonts w:ascii="Times New Roman" w:cs="Times New Roman" w:eastAsia="Times New Roman" w:hAnsi="Times New Roman"/>
                <w:sz w:val="22"/>
                <w:szCs w:val="22"/>
                <w:rtl w:val="0"/>
              </w:rPr>
              <w:t xml:space="preserve">An Act relative to the environmental protection of Joint Base Cape Cod</w:t>
            </w: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SPONSORS</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Vieira of Falmouth</w:t>
            </w:r>
          </w:p>
        </w:tc>
      </w:tr>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SIMILAR MATTERS</w:t>
            </w: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tl w:val="0"/>
              </w:rPr>
            </w:r>
          </w:p>
        </w:tc>
      </w:tr>
      <w:tr>
        <w:trPr>
          <w:cantSplit w:val="0"/>
          <w:trHeight w:val="10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PRIOR HISTORY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2021-2022: Filed as H3956; sent to study by ENRA</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2023-2024: Filed as H919; sent to study by ENR</w:t>
            </w:r>
          </w:p>
        </w:tc>
      </w:tr>
      <w:tr>
        <w:trPr>
          <w:cantSplit w:val="0"/>
          <w:trHeight w:val="1845"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SUMMARY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legislation redefines "environmental performance standards" as "included in the final environmental impact report, and any amendments thereto, regarding the activities on the northern 15,000 acres of the Joint Base Cape Cod." Additionally, the definition of "Joint Base Cape Cod" is clarified to detail ownership by the town of Barnstable and is used primarily for military purposes.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permits federal military forces to use and train at Joint Base Cape Cod, which was previously only available for the use and training of the Commonwealth's military forces.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further amends language referring to the "executive office of environmental affairs" to instead read "executive office of energy and environmental affairs."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Additionally, the bill transfers the custody, care, and control of the reserve from the Department of Fisheries, Wildlife and Environmental Law Enforcement to the Department of Fish and Game. The environmental management commission that exists within the executive office of energy and environmental affairs will consist of the commissioner of the department of fish and game, the commissioner of environmental protection, and the commissioner of conservation and recreation.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Two advisory councils will be appointed by and assist the environmental management commission: a community advisory council and a science advisory council, to be organized and selected by specific criteria laid out in greater detail from lines 32 to 50 of the bill's text. Both councils will advise the commission on matters related to the protection of the drinking water supply and wildlife habitat on the 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also directs the environmental officer of the Massachusetts Military Reservation to coordinate with appropriate personnel from the Department of Fish and Game, DCR, and DEP to evaluate the environmental impact of activities conducted on the reserve. It provides the environmental management commission with the authority to access and inspect the reserve in order to evaluate and report on the environmental impact of military training and other activities on the reserve.  </w:t>
            </w:r>
          </w:p>
        </w:tc>
      </w:tr>
    </w:tbl>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