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1067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advancing water access equity through utility reporting requirement</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Vitolo</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S655, by Senator Rausch</w:t>
            </w:r>
          </w:p>
        </w:tc>
      </w:tr>
      <w:tr>
        <w:trPr>
          <w:cantSplit w:val="0"/>
          <w:trHeight w:val="153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H922/S2177; Both bills reported favorably by ENR; referred to House and Senate Committees on Ways and Means where no further action was taken.</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u w:val="single"/>
                <w:rtl w:val="0"/>
              </w:rPr>
              <w:t xml:space="preserve">SUMMARY</w:t>
            </w:r>
            <w:r w:rsidDel="00000000" w:rsidR="00000000" w:rsidRPr="00000000">
              <w:rPr>
                <w:rtl w:val="0"/>
              </w:rPr>
            </w:r>
          </w:p>
          <w:p w:rsidR="00000000" w:rsidDel="00000000" w:rsidP="00000000" w:rsidRDefault="00000000" w:rsidRPr="00000000" w14:paraId="0000000F">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requires public and private water utilities to submit quarterly reports to the Executive Office of Energy and Environmental Affairs detailing customer service data related to water access, disconnections due to non-payment, payment assistance programs, and property liens. These reports must be public records and include information disaggregated by zip code, such as the number of disconnection notices, shutoffs, reconnections, fees charged, deferred payment agreements, and participation in assistance programs.</w:t>
            </w:r>
          </w:p>
          <w:p w:rsidR="00000000" w:rsidDel="00000000" w:rsidP="00000000" w:rsidRDefault="00000000" w:rsidRPr="00000000" w14:paraId="00000010">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Executive Office is authorized to establish regulations to implement these requirements. Annually, by March 15, it must report to the Senate and House Committees on Ways and Means and the Joint Committee on Environment, Natural Resources and Agriculture with the results of these data reports.</w:t>
            </w:r>
          </w:p>
          <w:p w:rsidR="00000000" w:rsidDel="00000000" w:rsidP="00000000" w:rsidRDefault="00000000" w:rsidRPr="00000000" w14:paraId="00000011">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act takes effect on January 1, 2024.</w:t>
            </w: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