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Joint Committee on Environment and Natural Resources</w:t>
      </w:r>
    </w:p>
    <w:p w:rsidR="00000000" w:rsidDel="00000000" w:rsidP="00000000" w:rsidRDefault="00000000" w:rsidRPr="00000000" w14:paraId="00000002">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Bill Summary</w:t>
        <w:br w:type="textWrapping"/>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__________________________________________________________________</w:t>
      </w:r>
    </w:p>
    <w:tbl>
      <w:tblPr>
        <w:tblStyle w:val="Table1"/>
        <w:tblW w:w="9345.0" w:type="dxa"/>
        <w:jc w:val="left"/>
        <w:tblInd w:w="1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715"/>
        <w:gridCol w:w="6630"/>
        <w:tblGridChange w:id="0">
          <w:tblGrid>
            <w:gridCol w:w="2715"/>
            <w:gridCol w:w="6630"/>
          </w:tblGrid>
        </w:tblGridChange>
      </w:tblGrid>
      <w:tr>
        <w:trPr>
          <w:cantSplit w:val="0"/>
          <w:trHeight w:val="54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3">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BILL NUMBER</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House, No. 1072</w:t>
            </w:r>
          </w:p>
        </w:tc>
      </w:tr>
      <w:tr>
        <w:trPr>
          <w:cantSplit w:val="0"/>
          <w:trHeight w:val="617.373046875"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5">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TITLE</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An Act of improving environmental justice in Black communities</w:t>
            </w:r>
          </w:p>
        </w:tc>
      </w:tr>
      <w:tr>
        <w:trPr>
          <w:cantSplit w:val="0"/>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8">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SPONSORS</w:t>
            </w:r>
            <w:r w:rsidDel="00000000" w:rsidR="00000000" w:rsidRPr="00000000">
              <w:rPr>
                <w:rFonts w:ascii="Times New Roman" w:cs="Times New Roman" w:eastAsia="Times New Roman" w:hAnsi="Times New Roman"/>
                <w:sz w:val="24"/>
                <w:szCs w:val="24"/>
                <w:rtl w:val="0"/>
              </w:rPr>
              <w:t xml:space="preserve">                         Representative Worrell</w:t>
            </w:r>
            <w:r w:rsidDel="00000000" w:rsidR="00000000" w:rsidRPr="00000000">
              <w:rPr>
                <w:rtl w:val="0"/>
              </w:rPr>
            </w:r>
          </w:p>
        </w:tc>
      </w:tr>
      <w:tr>
        <w:trPr>
          <w:cantSplit w:val="0"/>
          <w:trHeight w:val="527.373046875"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A">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SIMILAR MATTERS</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1125"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C">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PRIOR HISTORY</w:t>
            </w:r>
          </w:p>
          <w:p w:rsidR="00000000" w:rsidDel="00000000" w:rsidP="00000000" w:rsidRDefault="00000000" w:rsidRPr="00000000" w14:paraId="0000000D">
            <w:pPr>
              <w:spacing w:after="0" w:before="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2023-2024: Late filed as HD.4161; Referred to House Rules where no further action was taken</w:t>
            </w:r>
          </w:p>
          <w:p w:rsidR="00000000" w:rsidDel="00000000" w:rsidP="00000000" w:rsidRDefault="00000000" w:rsidRPr="00000000" w14:paraId="0000000E">
            <w:pPr>
              <w:spacing w:after="0" w:before="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after="0" w:before="0" w:lineRule="auto"/>
              <w:rPr>
                <w:rFonts w:ascii="Times New Roman" w:cs="Times New Roman" w:eastAsia="Times New Roman" w:hAnsi="Times New Roman"/>
                <w:sz w:val="18"/>
                <w:szCs w:val="18"/>
              </w:rPr>
            </w:pPr>
            <w:r w:rsidDel="00000000" w:rsidR="00000000" w:rsidRPr="00000000">
              <w:rPr>
                <w:rtl w:val="0"/>
              </w:rPr>
            </w:r>
          </w:p>
        </w:tc>
      </w:tr>
      <w:tr>
        <w:trPr>
          <w:cantSplit w:val="0"/>
          <w:trHeight w:val="105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11">
            <w:pPr>
              <w:spacing w:after="0" w:before="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SUMMARY</w:t>
            </w:r>
          </w:p>
          <w:p w:rsidR="00000000" w:rsidDel="00000000" w:rsidP="00000000" w:rsidRDefault="00000000" w:rsidRPr="00000000" w14:paraId="00000012">
            <w:pPr>
              <w:spacing w:after="0" w:before="0" w:line="276" w:lineRule="auto"/>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13">
            <w:pPr>
              <w:spacing w:after="0" w:before="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bill, “The Green Zones Act,” aims to address disproportionate environmental burdens faced by Black/African American, Asian, Indigenous, Latino/Hispanic, and low-income communities in Massachusetts. The Secretary of the Executive Office of Energy and Environmental Affairs (EEA) is tasked with conducting environmental audits of environmental justice neighborhoods in Massachusetts and using the results to identify “Green Zones”. Green Zones pertain to areas within environmental justice neighborhoods where strategies can be implemented to mitigate environmental burdens and enhance sustainability and resilience.</w:t>
            </w:r>
          </w:p>
          <w:p w:rsidR="00000000" w:rsidDel="00000000" w:rsidP="00000000" w:rsidRDefault="00000000" w:rsidRPr="00000000" w14:paraId="00000014">
            <w:pPr>
              <w:spacing w:after="0" w:before="0" w:line="276"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5">
            <w:pPr>
              <w:spacing w:after="0" w:before="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Twice a year, the Secretary of Energy and Environmental Affairs will submit the findings of the environmental audit to the Clerks of the House and Senate, Chairs of the House and Senate Committees on Ways and Means, and the Chairs of the Joint Committee on Environment and Natural Resources. Additionally, findings will be posted on the EEA website. </w:t>
            </w:r>
          </w:p>
          <w:p w:rsidR="00000000" w:rsidDel="00000000" w:rsidP="00000000" w:rsidRDefault="00000000" w:rsidRPr="00000000" w14:paraId="00000016">
            <w:pPr>
              <w:spacing w:after="0" w:before="0" w:line="276"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7">
            <w:pPr>
              <w:spacing w:after="0" w:before="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Secretary is authorized to enter into an intrastate compact with municipal officials of environmental justice communities to define how state and local agencies will cooperate in implementing Green Zones. This cooperation can include assigning staff, providing technical assistance, offering planning grants, and other actions allowed under existing law. </w:t>
            </w:r>
            <w:r w:rsidDel="00000000" w:rsidR="00000000" w:rsidRPr="00000000">
              <w:rPr>
                <w:rtl w:val="0"/>
              </w:rPr>
            </w:r>
          </w:p>
        </w:tc>
      </w:tr>
    </w:tbl>
    <w:p w:rsidR="00000000" w:rsidDel="00000000" w:rsidP="00000000" w:rsidRDefault="00000000" w:rsidRPr="00000000" w14:paraId="00000019">
      <w:pPr>
        <w:rPr>
          <w:rFonts w:ascii="Times New Roman" w:cs="Times New Roman" w:eastAsia="Times New Roman" w:hAnsi="Times New Roman"/>
          <w:sz w:val="24"/>
          <w:szCs w:val="24"/>
        </w:rPr>
      </w:pP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