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1075</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use of shotgun ammunition for hunting</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Zlotnik</w:t>
            </w:r>
            <w:r w:rsidDel="00000000" w:rsidR="00000000" w:rsidRPr="00000000">
              <w:rPr>
                <w:rtl w:val="0"/>
              </w:rPr>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H.1010, Rep. Muradian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Filed as H453; Reported favorably by ENRA, Referred to HWM where no further action was taken. </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Filed as S451, Referred to ENRA, where no further action was taken.  </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2021 - 2022: Filed as H1029; ENRA placed in study </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H926; Accompanied a study order (H.4668)</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3">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4">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66 (Shotgun shells, load) of Chapter 131 (Inland Fisheries and Game and Other Natural Resources) of MGL, by striking the section in its entirety and replacing it with new language. This new language states that the Director of the Division of Fisheries and Wildlife, under the control of the Fisheries and Wildlife Board, can set regulations for the use and possession of shotgun ammunition types for the purpose of hunting.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