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1075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use of shotgun ammunition for hunting</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Zlotnik</w:t>
            </w:r>
            <w:r w:rsidDel="00000000" w:rsidR="00000000" w:rsidRPr="00000000">
              <w:rPr>
                <w:rtl w:val="0"/>
              </w:rPr>
            </w:r>
          </w:p>
        </w:tc>
      </w:tr>
      <w:tr>
        <w:trPr>
          <w:cantSplit w:val="0"/>
          <w:trHeight w:val="40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H.1010, Rep. Muradian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H453; Reported favorably by ENRA, Referred to HWM where no further action was taken. </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S451, Referred to ENRA, where no further action was taken.  </w:t>
            </w:r>
          </w:p>
          <w:p w:rsidR="00000000" w:rsidDel="00000000" w:rsidP="00000000" w:rsidRDefault="00000000" w:rsidRPr="00000000" w14:paraId="0000000F">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2021 - 2022: Filed as H1029; ENRA placed in study </w:t>
            </w:r>
          </w:p>
          <w:p w:rsidR="00000000" w:rsidDel="00000000" w:rsidP="00000000" w:rsidRDefault="00000000" w:rsidRPr="00000000" w14:paraId="00000010">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H926; Accompanied a study order (H.4668)</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3">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4">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66 (Shotgun shells, load) of Chapter 131 (Inland Fisheries and Game and Other Natural Resources) of MGL, by striking the section in its entirety and replacing it with new language. This new language states that the Director of the Division of Fisheries and Wildlife, under the control of the Fisheries and Wildlife Board, can set regulations for the use and possession of shotgun ammunition types for the purpose of hunting.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9">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