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108</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protect Massachusetts pollinators</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Arena-DeRosa</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3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0" w:before="0" w:lineRule="auto"/>
              <w:rPr>
                <w:rFonts w:ascii="Times New Roman" w:cs="Times New Roman" w:eastAsia="Times New Roman" w:hAnsi="Times New Roman"/>
                <w:b w:val="1"/>
                <w:sz w:val="16"/>
                <w:szCs w:val="16"/>
                <w:u w:val="single"/>
              </w:rPr>
            </w:pPr>
            <w:r w:rsidDel="00000000" w:rsidR="00000000" w:rsidRPr="00000000">
              <w:rPr>
                <w:rtl w:val="0"/>
              </w:rPr>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Section 2 of chapter 132B of MGL to introduce updated regulations on the use and distribution of neonicotinoid pesticides in the Commonwealth to protect pollinators and the environment.  It begins by defining "neonicotinoid" as a class of pesticides that act on nicotine acetylcholine receptors, are absorbed into plant tissue, and can be present in pollen and nectar. Examples include imidacloprid, clothianidin, and thiamethoxam, among others, as identified by the U.S. EPA. The law restricts the sale and distribution of these substances, except for neonicotinoid-treated nursery plants, to only certified commercial applicators, certified private applicators, or licensed applicators.</w:t>
            </w:r>
          </w:p>
          <w:p w:rsidR="00000000" w:rsidDel="00000000" w:rsidP="00000000" w:rsidRDefault="00000000" w:rsidRPr="00000000" w14:paraId="00000012">
            <w:pPr>
              <w:spacing w:after="0" w:before="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of neonicotinoids is limited to these certified or licensed individuals. When applying these substances on properties they do not own, applicators must provide property owners with a written authorization form, pesticide label warnings related to bees, environmental impact information, and obtain acknowledgment that this information was received. Exemptions include some pet and personal care products, indoor pest control, and industrial or institutional uses. The legislation adds pollinator protection to state pesticide policies and ensures enforcement of new restrictions. Lastly MassDOT is tasked with exploring native, pollinator-friendly plantings to replace non-native grasses around solar installations on state property.</w:t>
            </w:r>
            <w:r w:rsidDel="00000000" w:rsidR="00000000" w:rsidRPr="00000000">
              <w:rPr>
                <w:rtl w:val="0"/>
              </w:rPr>
            </w:r>
          </w:p>
        </w:tc>
      </w:tr>
    </w:tbl>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