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124</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improving pesticide protections for Massachusetts schoolchildren</w:t>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Gentile</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32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H791; Reported favorably by ENRA; Referred to House Steering where no further action was taken</w:t>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H926; reported favorably by ENRA; referred to House Steering which reported that the matter be placed on the Orders of the Day for the next sitting for a second reading; no further action was taken</w:t>
            </w:r>
          </w:p>
          <w:p w:rsidR="00000000" w:rsidDel="00000000" w:rsidP="00000000" w:rsidRDefault="00000000" w:rsidRPr="00000000" w14:paraId="0000000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H811; reported favorably by ENR and referred to House Steering, reporting that the matter be placed in the Orders of the Day for the next sitting; Read second and ordered to a third reading; no further action was taken</w:t>
            </w:r>
          </w:p>
          <w:p w:rsidR="00000000" w:rsidDel="00000000" w:rsidP="00000000" w:rsidRDefault="00000000" w:rsidRPr="00000000" w14:paraId="00000010">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expands and strengthens restrictions on pesticide use in and around facilities that serve children and youth in Massachusetts. It amends Section 6C of Chapter 132B of Massachusetts General Law to broaden the definition of protected properties beyond schools and child care centers. Specifically, it adds properties occupied by the Department of Children and Families, juvenile court facilities, Department of Youth Services facilities, and sports fields used by town youth teams to the list of locations where pesticide use is restricted.</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bill also extends these restrictions to apply not only on the designated properties themselves but also to properties within 150 feet, including abutting properties. This change aims to reduce the risk of pesticide exposure in the surrounding areas of sensitive locations, recognizing that pesticide drift can affect nearby environments and vulnerable populations such as children and youth.</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legislation also clarifies that these restrictions apply regardless of who is responsible for hiring a pesticide applicator. Whether the property owner is a public or private entity, a management company, or any other individual or organization, the same limitations on pesticide use apply. This ensures that no loopholes exist based on the status of the property owner or contracting party.</w:t>
            </w:r>
          </w:p>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the bill amends Section 6G to require that schools, child care centers, public institutions of higher education, and school-age child care programs may only use pesticides that either (1) are exempt materials under EPA regulations or (2) contain only active ingredients listed in the USDA National List of allowed substances. However, the bill also allows for a hardship waiver at the discretion of the state department, granting limited flexibility when deemed necessary.</w:t>
            </w:r>
            <w:r w:rsidDel="00000000" w:rsidR="00000000" w:rsidRPr="00000000">
              <w:rPr>
                <w:rtl w:val="0"/>
              </w:rPr>
            </w:r>
          </w:p>
        </w:tc>
      </w:tr>
    </w:tbl>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