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A5BF" w14:textId="77777777" w:rsidR="00570CFE" w:rsidRPr="00570CFE" w:rsidRDefault="00570CFE" w:rsidP="00570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5797348"/>
      <w:r w:rsidRPr="00570CFE">
        <w:rPr>
          <w:rFonts w:ascii="Times New Roman" w:hAnsi="Times New Roman" w:cs="Times New Roman"/>
          <w:b/>
          <w:sz w:val="24"/>
          <w:szCs w:val="24"/>
        </w:rPr>
        <w:t>JOINT COMMITTEE ON THE JUDICIARY</w:t>
      </w:r>
    </w:p>
    <w:p w14:paraId="07C66390" w14:textId="77777777" w:rsidR="00570CFE" w:rsidRPr="00570CFE" w:rsidRDefault="00570CFE" w:rsidP="00570C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0CFE">
        <w:rPr>
          <w:rFonts w:ascii="Times New Roman" w:hAnsi="Times New Roman" w:cs="Times New Roman"/>
          <w:b/>
          <w:bCs/>
          <w:sz w:val="24"/>
          <w:szCs w:val="24"/>
        </w:rPr>
        <w:t xml:space="preserve"> BILL SUMMARY</w:t>
      </w:r>
    </w:p>
    <w:p w14:paraId="60E63040" w14:textId="77777777" w:rsidR="00570CFE" w:rsidRPr="00570CFE" w:rsidRDefault="00570CFE" w:rsidP="00570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D5F624" w14:textId="519B4A8B" w:rsidR="00570CFE" w:rsidRPr="00570CFE" w:rsidRDefault="00570CFE" w:rsidP="00570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CFE">
        <w:rPr>
          <w:rFonts w:ascii="Times New Roman" w:hAnsi="Times New Roman" w:cs="Times New Roman"/>
          <w:b/>
          <w:bCs/>
          <w:sz w:val="24"/>
          <w:szCs w:val="24"/>
        </w:rPr>
        <w:t xml:space="preserve">BILL NO.  </w:t>
      </w:r>
      <w:r w:rsidRPr="00570CFE">
        <w:rPr>
          <w:rFonts w:ascii="Times New Roman" w:hAnsi="Times New Roman" w:cs="Times New Roman"/>
          <w:sz w:val="24"/>
          <w:szCs w:val="24"/>
        </w:rPr>
        <w:tab/>
      </w:r>
      <w:r w:rsidRPr="00570CFE">
        <w:rPr>
          <w:rFonts w:ascii="Times New Roman" w:hAnsi="Times New Roman" w:cs="Times New Roman"/>
          <w:sz w:val="24"/>
          <w:szCs w:val="24"/>
        </w:rPr>
        <w:tab/>
      </w:r>
      <w:r w:rsidRPr="00570CFE">
        <w:rPr>
          <w:rFonts w:ascii="Times New Roman" w:hAnsi="Times New Roman" w:cs="Times New Roman"/>
          <w:sz w:val="24"/>
          <w:szCs w:val="24"/>
        </w:rPr>
        <w:tab/>
        <w:t>H</w:t>
      </w:r>
      <w:r>
        <w:rPr>
          <w:rFonts w:ascii="Times New Roman" w:hAnsi="Times New Roman" w:cs="Times New Roman"/>
          <w:sz w:val="24"/>
          <w:szCs w:val="24"/>
        </w:rPr>
        <w:t>1599</w:t>
      </w:r>
      <w:r w:rsidRPr="00570CF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050BCB0" w14:textId="77777777" w:rsidR="00570CFE" w:rsidRPr="00570CFE" w:rsidRDefault="00570CFE" w:rsidP="00570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37E48" w14:textId="146B09A4" w:rsidR="00570CFE" w:rsidRPr="00570CFE" w:rsidRDefault="00570CFE" w:rsidP="00570CFE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570CFE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570CFE">
        <w:rPr>
          <w:rFonts w:ascii="Times New Roman" w:hAnsi="Times New Roman" w:cs="Times New Roman"/>
          <w:sz w:val="24"/>
          <w:szCs w:val="24"/>
        </w:rPr>
        <w:t xml:space="preserve">  </w:t>
      </w:r>
      <w:r w:rsidRPr="00570CFE">
        <w:rPr>
          <w:rFonts w:ascii="Times New Roman" w:hAnsi="Times New Roman" w:cs="Times New Roman"/>
          <w:sz w:val="24"/>
          <w:szCs w:val="24"/>
        </w:rPr>
        <w:tab/>
        <w:t xml:space="preserve">An </w:t>
      </w:r>
      <w:r w:rsidR="00973B19">
        <w:rPr>
          <w:rFonts w:ascii="Times New Roman" w:hAnsi="Times New Roman" w:cs="Times New Roman"/>
          <w:sz w:val="24"/>
          <w:szCs w:val="24"/>
        </w:rPr>
        <w:t>Act for the Youth Court Justice Fund.</w:t>
      </w:r>
    </w:p>
    <w:p w14:paraId="07F081E7" w14:textId="77777777" w:rsidR="00570CFE" w:rsidRPr="00570CFE" w:rsidRDefault="00570CFE" w:rsidP="00570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B4240E" w14:textId="6D4C32F6" w:rsidR="00570CFE" w:rsidRPr="00570CFE" w:rsidRDefault="00570CFE" w:rsidP="00570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CFE">
        <w:rPr>
          <w:rFonts w:ascii="Times New Roman" w:hAnsi="Times New Roman" w:cs="Times New Roman"/>
          <w:b/>
          <w:bCs/>
          <w:sz w:val="24"/>
          <w:szCs w:val="24"/>
        </w:rPr>
        <w:t>SPONSOR:</w:t>
      </w:r>
      <w:r w:rsidRPr="00570CFE">
        <w:rPr>
          <w:rFonts w:ascii="Times New Roman" w:hAnsi="Times New Roman" w:cs="Times New Roman"/>
          <w:sz w:val="24"/>
          <w:szCs w:val="24"/>
        </w:rPr>
        <w:tab/>
      </w:r>
      <w:r w:rsidRPr="00570CFE">
        <w:rPr>
          <w:rFonts w:ascii="Times New Roman" w:hAnsi="Times New Roman" w:cs="Times New Roman"/>
          <w:sz w:val="24"/>
          <w:szCs w:val="24"/>
        </w:rPr>
        <w:tab/>
      </w:r>
      <w:r w:rsidRPr="00570CFE">
        <w:rPr>
          <w:rFonts w:ascii="Times New Roman" w:hAnsi="Times New Roman" w:cs="Times New Roman"/>
          <w:sz w:val="24"/>
          <w:szCs w:val="24"/>
        </w:rPr>
        <w:tab/>
        <w:t>Rep.</w:t>
      </w:r>
      <w:r w:rsidR="00973B19">
        <w:rPr>
          <w:rFonts w:ascii="Times New Roman" w:hAnsi="Times New Roman" w:cs="Times New Roman"/>
          <w:sz w:val="24"/>
          <w:szCs w:val="24"/>
        </w:rPr>
        <w:t xml:space="preserve"> Antonio Cabral</w:t>
      </w:r>
    </w:p>
    <w:p w14:paraId="09D7FC37" w14:textId="77777777" w:rsidR="00570CFE" w:rsidRPr="00570CFE" w:rsidRDefault="00570CFE" w:rsidP="00570C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CF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2862447" w14:textId="4AE0CB5E" w:rsidR="00570CFE" w:rsidRPr="00570CFE" w:rsidRDefault="00570CFE" w:rsidP="00570C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CFE">
        <w:rPr>
          <w:rFonts w:ascii="Times New Roman" w:hAnsi="Times New Roman" w:cs="Times New Roman"/>
          <w:b/>
          <w:bCs/>
          <w:sz w:val="24"/>
          <w:szCs w:val="24"/>
        </w:rPr>
        <w:t>COSPONSOR(S):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0CFE">
        <w:rPr>
          <w:rFonts w:ascii="Times New Roman" w:hAnsi="Times New Roman" w:cs="Times New Roman"/>
          <w:sz w:val="24"/>
          <w:szCs w:val="24"/>
        </w:rPr>
        <w:t>None</w:t>
      </w:r>
    </w:p>
    <w:p w14:paraId="7F2A869D" w14:textId="77777777" w:rsidR="00570CFE" w:rsidRPr="00570CFE" w:rsidRDefault="00570CFE" w:rsidP="00570C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B3889" w14:textId="3B4E9785" w:rsidR="00570CFE" w:rsidRPr="00570CFE" w:rsidRDefault="00570CFE" w:rsidP="00570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7842C0BE">
        <w:rPr>
          <w:rFonts w:ascii="Times New Roman" w:hAnsi="Times New Roman" w:cs="Times New Roman"/>
          <w:b/>
          <w:bCs/>
          <w:sz w:val="24"/>
          <w:szCs w:val="24"/>
        </w:rPr>
        <w:t>HEARING DATE:</w:t>
      </w:r>
      <w:r>
        <w:tab/>
      </w:r>
      <w:r>
        <w:tab/>
      </w:r>
      <w:r w:rsidR="5894176B" w:rsidRPr="7842C0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6, 2025</w:t>
      </w:r>
      <w:r>
        <w:tab/>
      </w:r>
    </w:p>
    <w:p w14:paraId="1B34B138" w14:textId="77777777" w:rsidR="00570CFE" w:rsidRPr="00570CFE" w:rsidRDefault="00570CFE" w:rsidP="00570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598DF" w14:textId="77777777" w:rsidR="00C37DCA" w:rsidRDefault="00570CFE" w:rsidP="00570CFE">
      <w:pPr>
        <w:spacing w:after="0"/>
        <w:ind w:left="2880" w:hanging="28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CFE">
        <w:rPr>
          <w:rFonts w:ascii="Times New Roman" w:hAnsi="Times New Roman" w:cs="Times New Roman"/>
          <w:b/>
          <w:bCs/>
          <w:sz w:val="24"/>
          <w:szCs w:val="24"/>
        </w:rPr>
        <w:t>PRIOR HISTORY:</w:t>
      </w:r>
      <w:r w:rsidRPr="00570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37DCA" w:rsidRPr="00C37DCA">
        <w:rPr>
          <w:rFonts w:ascii="Times New Roman" w:hAnsi="Times New Roman" w:cs="Times New Roman"/>
          <w:sz w:val="24"/>
          <w:szCs w:val="24"/>
        </w:rPr>
        <w:t>H1402 (2023-2024)</w:t>
      </w:r>
      <w:r w:rsidR="00C37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7F75D4" w14:textId="6B0A0FE9" w:rsidR="00570CFE" w:rsidRPr="00C37DCA" w:rsidRDefault="00C37DCA" w:rsidP="00C37DCA">
      <w:pPr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549FDB9D">
        <w:rPr>
          <w:rFonts w:ascii="Times New Roman" w:hAnsi="Times New Roman" w:cs="Times New Roman"/>
          <w:sz w:val="24"/>
          <w:szCs w:val="24"/>
        </w:rPr>
        <w:t>H1478 (202 –2022)</w:t>
      </w:r>
    </w:p>
    <w:p w14:paraId="67D8209A" w14:textId="77777777" w:rsidR="00570CFE" w:rsidRPr="00570CFE" w:rsidRDefault="00570CFE" w:rsidP="00570CFE">
      <w:pPr>
        <w:spacing w:after="0"/>
        <w:ind w:left="2880" w:hanging="28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7A4EF" w14:textId="7575D9F1" w:rsidR="00570CFE" w:rsidRPr="00570CFE" w:rsidRDefault="5B22DB87" w:rsidP="00570CFE">
      <w:pPr>
        <w:spacing w:after="0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33F66148">
        <w:rPr>
          <w:rFonts w:ascii="Times New Roman" w:hAnsi="Times New Roman" w:cs="Times New Roman"/>
          <w:b/>
          <w:bCs/>
          <w:sz w:val="24"/>
          <w:szCs w:val="24"/>
        </w:rPr>
        <w:t xml:space="preserve">SENATE </w:t>
      </w:r>
      <w:r w:rsidR="00570CFE" w:rsidRPr="33F66148">
        <w:rPr>
          <w:rFonts w:ascii="Times New Roman" w:hAnsi="Times New Roman" w:cs="Times New Roman"/>
          <w:b/>
          <w:bCs/>
          <w:sz w:val="24"/>
          <w:szCs w:val="24"/>
        </w:rPr>
        <w:t>BILL:</w:t>
      </w:r>
      <w:r w:rsidR="00570CFE">
        <w:tab/>
      </w:r>
      <w:r w:rsidR="00AF56BB" w:rsidRPr="33F66148">
        <w:rPr>
          <w:rFonts w:ascii="Times New Roman" w:hAnsi="Times New Roman" w:cs="Times New Roman"/>
          <w:sz w:val="24"/>
          <w:szCs w:val="24"/>
        </w:rPr>
        <w:t>None</w:t>
      </w:r>
    </w:p>
    <w:p w14:paraId="482F61BB" w14:textId="77777777" w:rsidR="00570CFE" w:rsidRPr="00570CFE" w:rsidRDefault="00570CFE" w:rsidP="00570CFE">
      <w:pPr>
        <w:spacing w:after="0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</w:p>
    <w:p w14:paraId="446994A0" w14:textId="7FDFE719" w:rsidR="003135BD" w:rsidRDefault="00570CFE" w:rsidP="003135BD">
      <w:pPr>
        <w:spacing w:after="0" w:line="276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70CFE">
        <w:rPr>
          <w:rFonts w:ascii="Times New Roman" w:hAnsi="Times New Roman" w:cs="Times New Roman"/>
          <w:b/>
          <w:bCs/>
          <w:sz w:val="24"/>
          <w:szCs w:val="24"/>
        </w:rPr>
        <w:t>CURRENT LAW:</w:t>
      </w:r>
      <w:r w:rsidRPr="00570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6901">
        <w:rPr>
          <w:rFonts w:ascii="Times New Roman" w:eastAsia="Times New Roman" w:hAnsi="Times New Roman" w:cs="Times New Roman"/>
          <w:color w:val="1F1F1F"/>
          <w:sz w:val="24"/>
          <w:szCs w:val="24"/>
        </w:rPr>
        <w:t>The</w:t>
      </w:r>
      <w:r w:rsidR="00976901" w:rsidRPr="31781F2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General Laws</w:t>
      </w:r>
      <w:r w:rsidR="00976901" w:rsidRPr="31781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901">
        <w:rPr>
          <w:rFonts w:ascii="Times New Roman" w:eastAsia="Times New Roman" w:hAnsi="Times New Roman" w:cs="Times New Roman"/>
          <w:sz w:val="24"/>
          <w:szCs w:val="24"/>
        </w:rPr>
        <w:t xml:space="preserve">permit the </w:t>
      </w:r>
      <w:r w:rsidR="00976901" w:rsidRPr="31781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forfeiture of property </w:t>
      </w:r>
      <w:r w:rsidR="0097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connected to criminal activity. Section 24W of Chapter 90 permits forfeiture of vehicles for drunk driving offenses, </w:t>
      </w:r>
      <w:r w:rsidR="00976901" w:rsidRPr="31781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 47 of Chapter 94C</w:t>
      </w:r>
      <w:r w:rsidR="0097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permits forfeiture of property connected to controlled substances crimes and</w:t>
      </w:r>
      <w:r w:rsidR="00976901" w:rsidRPr="31781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 56 of Chapter 265 permits the forfeiture of property related to human trafficking crimes.</w:t>
      </w:r>
    </w:p>
    <w:p w14:paraId="2177A0CF" w14:textId="77777777" w:rsidR="003135BD" w:rsidRDefault="003135BD" w:rsidP="003135BD">
      <w:pPr>
        <w:spacing w:after="0" w:line="276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60E125" w14:textId="77777777" w:rsidR="003135BD" w:rsidRPr="005C20F7" w:rsidRDefault="003135BD" w:rsidP="003135BD">
      <w:pPr>
        <w:spacing w:after="0" w:line="276" w:lineRule="auto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all sections a prosecutor may petition the court to order forfeiture of the property based on a showing of probable cause that the property owner knew or should have known that it was used in violation of the law. The</w:t>
      </w:r>
      <w:r w:rsidRPr="31781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action may be commenced regardless of the value of the property and at any time regardless of the status of related criminal proceedings. </w:t>
      </w:r>
      <w:r w:rsidRPr="00D939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 is no right to counsel, even if the property owner is entitled to public representation in a related criminal proceeding</w:t>
      </w:r>
      <w:r w:rsidRPr="31781F2D">
        <w:rPr>
          <w:rFonts w:ascii="Times New Roman" w:eastAsia="Times New Roman" w:hAnsi="Times New Roman" w:cs="Times New Roman"/>
          <w:color w:val="000000" w:themeColor="text1"/>
        </w:rPr>
        <w:t>.</w:t>
      </w:r>
      <w:r w:rsidRPr="31781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proceeds obtained through forfeiture proceedings </w:t>
      </w:r>
      <w:r w:rsidRPr="31781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either under the control of the prosecuting agency in the case or, for controlled substances forfeiture, </w:t>
      </w:r>
      <w:r w:rsidRPr="31781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split between the prosecuting and law enforcement agency involved in the case.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BFD72F" w14:textId="70AA07E7" w:rsidR="00570CFE" w:rsidRPr="00570CFE" w:rsidRDefault="00570CFE" w:rsidP="00570CFE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7F9C2099" w14:textId="647E34CF" w:rsidR="00570CFE" w:rsidRDefault="00570CFE" w:rsidP="00AF56BB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33F66148">
        <w:rPr>
          <w:rFonts w:ascii="Times New Roman" w:hAnsi="Times New Roman" w:cs="Times New Roman"/>
          <w:b/>
          <w:bCs/>
          <w:sz w:val="24"/>
          <w:szCs w:val="24"/>
        </w:rPr>
        <w:t>BILL SUMMARY</w:t>
      </w:r>
      <w:r w:rsidRPr="33F66148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33F66148">
        <w:rPr>
          <w:rFonts w:ascii="Times New Roman" w:hAnsi="Times New Roman" w:cs="Times New Roman"/>
          <w:sz w:val="24"/>
          <w:szCs w:val="24"/>
        </w:rPr>
        <w:t xml:space="preserve">Section 1 – </w:t>
      </w:r>
      <w:r w:rsidR="009303E4">
        <w:rPr>
          <w:rFonts w:ascii="Times New Roman" w:hAnsi="Times New Roman" w:cs="Times New Roman"/>
          <w:sz w:val="24"/>
          <w:szCs w:val="24"/>
        </w:rPr>
        <w:t>Creates a new Chapter in the General Laws that establishes</w:t>
      </w:r>
      <w:r w:rsidR="4DB88032" w:rsidRPr="33F66148">
        <w:rPr>
          <w:rFonts w:ascii="Times New Roman" w:hAnsi="Times New Roman" w:cs="Times New Roman"/>
          <w:sz w:val="24"/>
          <w:szCs w:val="24"/>
        </w:rPr>
        <w:t xml:space="preserve"> a </w:t>
      </w:r>
      <w:r w:rsidR="00424D6E" w:rsidRPr="33F66148">
        <w:rPr>
          <w:rFonts w:ascii="Times New Roman" w:hAnsi="Times New Roman" w:cs="Times New Roman"/>
          <w:sz w:val="24"/>
          <w:szCs w:val="24"/>
        </w:rPr>
        <w:t>fund title</w:t>
      </w:r>
      <w:r w:rsidR="002F5F36" w:rsidRPr="33F66148">
        <w:rPr>
          <w:rFonts w:ascii="Times New Roman" w:hAnsi="Times New Roman" w:cs="Times New Roman"/>
          <w:sz w:val="24"/>
          <w:szCs w:val="24"/>
        </w:rPr>
        <w:t>d</w:t>
      </w:r>
      <w:r w:rsidR="00424D6E" w:rsidRPr="33F66148">
        <w:rPr>
          <w:rFonts w:ascii="Times New Roman" w:hAnsi="Times New Roman" w:cs="Times New Roman"/>
          <w:sz w:val="24"/>
          <w:szCs w:val="24"/>
        </w:rPr>
        <w:t xml:space="preserve"> the Youth Court Justice Fund</w:t>
      </w:r>
      <w:r w:rsidR="000177C9">
        <w:rPr>
          <w:rFonts w:ascii="Times New Roman" w:hAnsi="Times New Roman" w:cs="Times New Roman"/>
          <w:sz w:val="24"/>
          <w:szCs w:val="24"/>
        </w:rPr>
        <w:t xml:space="preserve"> for proceeds of forfeiture proceedings </w:t>
      </w:r>
      <w:r w:rsidR="003C19D2">
        <w:rPr>
          <w:rFonts w:ascii="Times New Roman" w:hAnsi="Times New Roman" w:cs="Times New Roman"/>
          <w:sz w:val="24"/>
          <w:szCs w:val="24"/>
        </w:rPr>
        <w:t>from Section 47 of Chapter 94C.</w:t>
      </w:r>
      <w:r w:rsidR="00FF38AD" w:rsidRPr="33F66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79908" w14:textId="77777777" w:rsidR="006B1385" w:rsidRDefault="006B1385" w:rsidP="00AF56BB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09218048" w14:textId="78089AEE" w:rsidR="006B1385" w:rsidRDefault="006B1385" w:rsidP="33F66148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Section 2 – </w:t>
      </w:r>
      <w:r w:rsidR="003C19D2">
        <w:rPr>
          <w:rFonts w:ascii="Times New Roman" w:hAnsi="Times New Roman" w:cs="Times New Roman"/>
          <w:sz w:val="24"/>
          <w:szCs w:val="24"/>
        </w:rPr>
        <w:t xml:space="preserve">Updates </w:t>
      </w:r>
      <w:r w:rsidR="0FCE356B" w:rsidRPr="33F66148">
        <w:rPr>
          <w:rFonts w:ascii="Times New Roman" w:hAnsi="Times New Roman" w:cs="Times New Roman"/>
          <w:sz w:val="24"/>
          <w:szCs w:val="24"/>
        </w:rPr>
        <w:t>Section 47 of Chapter 94C</w:t>
      </w:r>
      <w:r w:rsidR="004A3CF0">
        <w:rPr>
          <w:rFonts w:ascii="Times New Roman" w:hAnsi="Times New Roman" w:cs="Times New Roman"/>
          <w:sz w:val="24"/>
          <w:szCs w:val="24"/>
        </w:rPr>
        <w:t xml:space="preserve"> with a new </w:t>
      </w:r>
      <w:r>
        <w:rPr>
          <w:rFonts w:ascii="Times New Roman" w:hAnsi="Times New Roman" w:cs="Times New Roman"/>
          <w:sz w:val="24"/>
          <w:szCs w:val="24"/>
        </w:rPr>
        <w:t>allocation of funds system</w:t>
      </w:r>
      <w:r w:rsidR="004A3CF0">
        <w:rPr>
          <w:rFonts w:ascii="Times New Roman" w:hAnsi="Times New Roman" w:cs="Times New Roman"/>
          <w:sz w:val="24"/>
          <w:szCs w:val="24"/>
        </w:rPr>
        <w:t xml:space="preserve">: </w:t>
      </w:r>
      <w:r w:rsidR="00360689">
        <w:rPr>
          <w:rFonts w:ascii="Times New Roman" w:hAnsi="Times New Roman" w:cs="Times New Roman"/>
          <w:sz w:val="24"/>
          <w:szCs w:val="24"/>
        </w:rPr>
        <w:t xml:space="preserve">one third of the proceeds going to the Youth Justice Fund while the prosecuting authority and the city, </w:t>
      </w:r>
      <w:proofErr w:type="gramStart"/>
      <w:r w:rsidR="00360689">
        <w:rPr>
          <w:rFonts w:ascii="Times New Roman" w:hAnsi="Times New Roman" w:cs="Times New Roman"/>
          <w:sz w:val="24"/>
          <w:szCs w:val="24"/>
        </w:rPr>
        <w:t>town</w:t>
      </w:r>
      <w:proofErr w:type="gramEnd"/>
      <w:r w:rsidR="00360689">
        <w:rPr>
          <w:rFonts w:ascii="Times New Roman" w:hAnsi="Times New Roman" w:cs="Times New Roman"/>
          <w:sz w:val="24"/>
          <w:szCs w:val="24"/>
        </w:rPr>
        <w:t xml:space="preserve"> or police department each receive </w:t>
      </w:r>
      <w:r w:rsidR="00330862">
        <w:rPr>
          <w:rFonts w:ascii="Times New Roman" w:hAnsi="Times New Roman" w:cs="Times New Roman"/>
          <w:sz w:val="24"/>
          <w:szCs w:val="24"/>
        </w:rPr>
        <w:t>a</w:t>
      </w:r>
      <w:r w:rsidR="00E664A9">
        <w:rPr>
          <w:rFonts w:ascii="Times New Roman" w:hAnsi="Times New Roman" w:cs="Times New Roman"/>
          <w:sz w:val="24"/>
          <w:szCs w:val="24"/>
        </w:rPr>
        <w:t xml:space="preserve"> remaining third of </w:t>
      </w:r>
      <w:r w:rsidR="00FF38AD">
        <w:rPr>
          <w:rFonts w:ascii="Times New Roman" w:hAnsi="Times New Roman" w:cs="Times New Roman"/>
          <w:sz w:val="24"/>
          <w:szCs w:val="24"/>
        </w:rPr>
        <w:t>the proceeds</w:t>
      </w:r>
      <w:r w:rsidR="00E664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CDE9D0" w14:textId="77777777" w:rsidR="001B7D1B" w:rsidRDefault="001B7D1B" w:rsidP="00AF56BB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213EC8FC" w14:textId="3F760EC6" w:rsidR="001B7D1B" w:rsidRDefault="001A5E52" w:rsidP="33F66148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3 – </w:t>
      </w:r>
      <w:r w:rsidR="00BC389C">
        <w:rPr>
          <w:rFonts w:ascii="Times New Roman" w:hAnsi="Times New Roman" w:cs="Times New Roman"/>
          <w:sz w:val="24"/>
          <w:szCs w:val="24"/>
        </w:rPr>
        <w:t>Removes</w:t>
      </w:r>
      <w:r w:rsidR="0081506F">
        <w:rPr>
          <w:rFonts w:ascii="Times New Roman" w:hAnsi="Times New Roman" w:cs="Times New Roman"/>
          <w:sz w:val="24"/>
          <w:szCs w:val="24"/>
        </w:rPr>
        <w:t xml:space="preserve"> </w:t>
      </w:r>
      <w:r w:rsidR="0033086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95B">
        <w:rPr>
          <w:rFonts w:ascii="Times New Roman" w:hAnsi="Times New Roman" w:cs="Times New Roman"/>
          <w:sz w:val="24"/>
          <w:szCs w:val="24"/>
        </w:rPr>
        <w:t xml:space="preserve">requirement </w:t>
      </w:r>
      <w:r w:rsidR="0081506F">
        <w:rPr>
          <w:rFonts w:ascii="Times New Roman" w:hAnsi="Times New Roman" w:cs="Times New Roman"/>
          <w:sz w:val="24"/>
          <w:szCs w:val="24"/>
        </w:rPr>
        <w:t xml:space="preserve">in Section 47 of Chapter 94C </w:t>
      </w:r>
      <w:r w:rsidR="005D295B">
        <w:rPr>
          <w:rFonts w:ascii="Times New Roman" w:hAnsi="Times New Roman" w:cs="Times New Roman"/>
          <w:sz w:val="24"/>
          <w:szCs w:val="24"/>
        </w:rPr>
        <w:t xml:space="preserve">that police use the money </w:t>
      </w:r>
      <w:r w:rsidR="000D1EEC">
        <w:rPr>
          <w:rFonts w:ascii="Times New Roman" w:hAnsi="Times New Roman" w:cs="Times New Roman"/>
          <w:sz w:val="24"/>
          <w:szCs w:val="24"/>
        </w:rPr>
        <w:t xml:space="preserve">for law enforcement purposes </w:t>
      </w:r>
      <w:r w:rsidR="00BC389C">
        <w:rPr>
          <w:rFonts w:ascii="Times New Roman" w:hAnsi="Times New Roman" w:cs="Times New Roman"/>
          <w:sz w:val="24"/>
          <w:szCs w:val="24"/>
        </w:rPr>
        <w:t>and inserts</w:t>
      </w:r>
      <w:r w:rsidR="000D1EEC">
        <w:rPr>
          <w:rFonts w:ascii="Times New Roman" w:hAnsi="Times New Roman" w:cs="Times New Roman"/>
          <w:sz w:val="24"/>
          <w:szCs w:val="24"/>
        </w:rPr>
        <w:t xml:space="preserve"> </w:t>
      </w:r>
      <w:r w:rsidR="009124B5">
        <w:rPr>
          <w:rFonts w:ascii="Times New Roman" w:hAnsi="Times New Roman" w:cs="Times New Roman"/>
          <w:sz w:val="24"/>
          <w:szCs w:val="24"/>
        </w:rPr>
        <w:t xml:space="preserve">public </w:t>
      </w:r>
      <w:r w:rsidR="00FE303B">
        <w:rPr>
          <w:rFonts w:ascii="Times New Roman" w:hAnsi="Times New Roman" w:cs="Times New Roman"/>
          <w:sz w:val="24"/>
          <w:szCs w:val="24"/>
        </w:rPr>
        <w:t>reporting requirement</w:t>
      </w:r>
      <w:r w:rsidR="00330862">
        <w:rPr>
          <w:rFonts w:ascii="Times New Roman" w:hAnsi="Times New Roman" w:cs="Times New Roman"/>
          <w:sz w:val="24"/>
          <w:szCs w:val="24"/>
        </w:rPr>
        <w:t>s</w:t>
      </w:r>
      <w:r w:rsidR="009124B5">
        <w:rPr>
          <w:rFonts w:ascii="Times New Roman" w:hAnsi="Times New Roman" w:cs="Times New Roman"/>
          <w:sz w:val="24"/>
          <w:szCs w:val="24"/>
        </w:rPr>
        <w:t xml:space="preserve"> </w:t>
      </w:r>
      <w:r w:rsidR="002B0B5A">
        <w:rPr>
          <w:rFonts w:ascii="Times New Roman" w:hAnsi="Times New Roman" w:cs="Times New Roman"/>
          <w:sz w:val="24"/>
          <w:szCs w:val="24"/>
        </w:rPr>
        <w:t xml:space="preserve">on forfeitures </w:t>
      </w:r>
      <w:r w:rsidR="00BC389C">
        <w:rPr>
          <w:rFonts w:ascii="Times New Roman" w:hAnsi="Times New Roman" w:cs="Times New Roman"/>
          <w:sz w:val="24"/>
          <w:szCs w:val="24"/>
        </w:rPr>
        <w:t xml:space="preserve">for </w:t>
      </w:r>
      <w:r w:rsidR="00FF38AD">
        <w:rPr>
          <w:rFonts w:ascii="Times New Roman" w:hAnsi="Times New Roman" w:cs="Times New Roman"/>
          <w:sz w:val="24"/>
          <w:szCs w:val="24"/>
        </w:rPr>
        <w:t xml:space="preserve">the attorney general, </w:t>
      </w:r>
      <w:r w:rsidR="004559DC">
        <w:rPr>
          <w:rFonts w:ascii="Times New Roman" w:hAnsi="Times New Roman" w:cs="Times New Roman"/>
          <w:sz w:val="24"/>
          <w:szCs w:val="24"/>
        </w:rPr>
        <w:t>col</w:t>
      </w:r>
      <w:r w:rsidR="009124B5">
        <w:rPr>
          <w:rFonts w:ascii="Times New Roman" w:hAnsi="Times New Roman" w:cs="Times New Roman"/>
          <w:sz w:val="24"/>
          <w:szCs w:val="24"/>
        </w:rPr>
        <w:t>onel and superintendent of the state police,</w:t>
      </w:r>
      <w:r w:rsidR="004559DC">
        <w:rPr>
          <w:rFonts w:ascii="Times New Roman" w:hAnsi="Times New Roman" w:cs="Times New Roman"/>
          <w:sz w:val="24"/>
          <w:szCs w:val="24"/>
        </w:rPr>
        <w:t xml:space="preserve"> the chief of police for each </w:t>
      </w:r>
      <w:r w:rsidR="00641A87">
        <w:rPr>
          <w:rFonts w:ascii="Times New Roman" w:hAnsi="Times New Roman" w:cs="Times New Roman"/>
          <w:sz w:val="24"/>
          <w:szCs w:val="24"/>
        </w:rPr>
        <w:t>city and town,</w:t>
      </w:r>
      <w:r w:rsidR="009124B5">
        <w:rPr>
          <w:rFonts w:ascii="Times New Roman" w:hAnsi="Times New Roman" w:cs="Times New Roman"/>
          <w:sz w:val="24"/>
          <w:szCs w:val="24"/>
        </w:rPr>
        <w:t xml:space="preserve"> and the secretary of the Executive Office of Public Safety and Security</w:t>
      </w:r>
      <w:r w:rsidR="00330862">
        <w:rPr>
          <w:rFonts w:ascii="Times New Roman" w:hAnsi="Times New Roman" w:cs="Times New Roman"/>
          <w:sz w:val="24"/>
          <w:szCs w:val="24"/>
        </w:rPr>
        <w:t xml:space="preserve"> to the House and Senate Committees on Ways and Means.</w:t>
      </w:r>
      <w:r w:rsidR="00912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67647" w14:textId="77777777" w:rsidR="00641A87" w:rsidRDefault="00641A87" w:rsidP="00AF56BB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B3AAC3C" w14:textId="183124FA" w:rsidR="00641A87" w:rsidRPr="00570CFE" w:rsidRDefault="00641A87" w:rsidP="33F66148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4 – </w:t>
      </w:r>
      <w:r w:rsidR="00172D64">
        <w:rPr>
          <w:rFonts w:ascii="Times New Roman" w:hAnsi="Times New Roman" w:cs="Times New Roman"/>
          <w:sz w:val="24"/>
          <w:szCs w:val="24"/>
        </w:rPr>
        <w:t>Sets reporting dates for the section.</w:t>
      </w:r>
      <w:r w:rsidR="00283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B8F23" w14:textId="77777777" w:rsidR="00570CFE" w:rsidRPr="00570CFE" w:rsidRDefault="00570CFE" w:rsidP="00570CFE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1CEE771" w14:textId="77777777" w:rsidR="00570CFE" w:rsidRPr="00570CFE" w:rsidRDefault="00570CFE" w:rsidP="00570CFE">
      <w:pPr>
        <w:rPr>
          <w:rFonts w:ascii="Times New Roman" w:hAnsi="Times New Roman" w:cs="Times New Roman"/>
          <w:sz w:val="24"/>
          <w:szCs w:val="24"/>
        </w:rPr>
      </w:pPr>
    </w:p>
    <w:p w14:paraId="2C078E63" w14:textId="77777777" w:rsidR="00010F7A" w:rsidRPr="00570CFE" w:rsidRDefault="00010F7A">
      <w:pPr>
        <w:rPr>
          <w:rFonts w:ascii="Times New Roman" w:hAnsi="Times New Roman" w:cs="Times New Roman"/>
          <w:sz w:val="24"/>
          <w:szCs w:val="24"/>
        </w:rPr>
      </w:pPr>
    </w:p>
    <w:sectPr w:rsidR="00010F7A" w:rsidRPr="00570CFE" w:rsidSect="00570CF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B4303C"/>
    <w:rsid w:val="00010F7A"/>
    <w:rsid w:val="000177C9"/>
    <w:rsid w:val="000D1EEC"/>
    <w:rsid w:val="00136D71"/>
    <w:rsid w:val="00172D64"/>
    <w:rsid w:val="001A5E52"/>
    <w:rsid w:val="001B7D1B"/>
    <w:rsid w:val="002831DC"/>
    <w:rsid w:val="002B0B5A"/>
    <w:rsid w:val="002F5F36"/>
    <w:rsid w:val="003135BD"/>
    <w:rsid w:val="00330862"/>
    <w:rsid w:val="00360689"/>
    <w:rsid w:val="003B5E5E"/>
    <w:rsid w:val="003C19D2"/>
    <w:rsid w:val="00424D6E"/>
    <w:rsid w:val="004559DC"/>
    <w:rsid w:val="004A3CF0"/>
    <w:rsid w:val="00555A6F"/>
    <w:rsid w:val="00570CFE"/>
    <w:rsid w:val="005B3B65"/>
    <w:rsid w:val="005D295B"/>
    <w:rsid w:val="00641A87"/>
    <w:rsid w:val="00693759"/>
    <w:rsid w:val="006B1385"/>
    <w:rsid w:val="006C4EF5"/>
    <w:rsid w:val="0081506F"/>
    <w:rsid w:val="00890BB3"/>
    <w:rsid w:val="008F611E"/>
    <w:rsid w:val="009124B5"/>
    <w:rsid w:val="009303E4"/>
    <w:rsid w:val="00973B19"/>
    <w:rsid w:val="00976901"/>
    <w:rsid w:val="009A0B04"/>
    <w:rsid w:val="00AB1F1B"/>
    <w:rsid w:val="00AF56BB"/>
    <w:rsid w:val="00B63B09"/>
    <w:rsid w:val="00BC389C"/>
    <w:rsid w:val="00C37DCA"/>
    <w:rsid w:val="00D061BA"/>
    <w:rsid w:val="00E664A9"/>
    <w:rsid w:val="00FC6BB5"/>
    <w:rsid w:val="00FD4EBB"/>
    <w:rsid w:val="00FE303B"/>
    <w:rsid w:val="00FF38AD"/>
    <w:rsid w:val="0FCE356B"/>
    <w:rsid w:val="10E4B09D"/>
    <w:rsid w:val="3245CE37"/>
    <w:rsid w:val="33F66148"/>
    <w:rsid w:val="35B4303C"/>
    <w:rsid w:val="3A68A84F"/>
    <w:rsid w:val="4DB88032"/>
    <w:rsid w:val="54492E62"/>
    <w:rsid w:val="549FDB9D"/>
    <w:rsid w:val="5894176B"/>
    <w:rsid w:val="5B22DB87"/>
    <w:rsid w:val="7842C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303C"/>
  <w15:chartTrackingRefBased/>
  <w15:docId w15:val="{48CAF9A3-CAF5-4718-8220-1B9F9137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695E16-AD68-4036-BAC7-404625F34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C57C8-570A-4E04-AF54-F289B8260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52B5D-5F47-45A4-B910-26E29786146B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47</cp:revision>
  <dcterms:created xsi:type="dcterms:W3CDTF">2025-04-19T15:17:00Z</dcterms:created>
  <dcterms:modified xsi:type="dcterms:W3CDTF">2025-04-30T18:51:00Z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