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7FB4" w14:textId="6FE41BCA" w:rsidR="006C23FE" w:rsidRDefault="0865747A" w:rsidP="00BD7950">
      <w:pPr>
        <w:spacing w:after="0" w:line="276" w:lineRule="auto"/>
        <w:jc w:val="center"/>
        <w:rPr>
          <w:rFonts w:ascii="Times" w:eastAsia="Times" w:hAnsi="Times" w:cs="Times"/>
          <w:color w:val="000000" w:themeColor="text1"/>
          <w:sz w:val="24"/>
          <w:szCs w:val="24"/>
        </w:rPr>
      </w:pPr>
      <w:r w:rsidRPr="71926FFA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JOINT COMMITTEE ON THE JUDICIARY</w:t>
      </w:r>
    </w:p>
    <w:p w14:paraId="4E50CC42" w14:textId="6FEC4630" w:rsidR="006C23FE" w:rsidRDefault="0865747A" w:rsidP="00BD7950">
      <w:pPr>
        <w:spacing w:after="0" w:line="276" w:lineRule="auto"/>
        <w:jc w:val="center"/>
        <w:rPr>
          <w:rFonts w:ascii="Times" w:eastAsia="Times" w:hAnsi="Times" w:cs="Times"/>
          <w:color w:val="000000" w:themeColor="text1"/>
          <w:sz w:val="24"/>
          <w:szCs w:val="24"/>
        </w:rPr>
      </w:pPr>
      <w:r w:rsidRPr="71926FFA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BILL SUMMARY</w:t>
      </w:r>
    </w:p>
    <w:p w14:paraId="6A21EEA4" w14:textId="3C37EFEC" w:rsidR="006C23FE" w:rsidRDefault="006C23FE" w:rsidP="00BD7950">
      <w:pPr>
        <w:spacing w:line="276" w:lineRule="auto"/>
        <w:jc w:val="center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2565BB99" w14:textId="183C0BD0" w:rsidR="006C23FE" w:rsidRDefault="0865747A" w:rsidP="00BD7950">
      <w:pPr>
        <w:spacing w:line="276" w:lineRule="auto"/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</w:pPr>
      <w:r w:rsidRPr="1260E285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BILL NO: </w:t>
      </w:r>
      <w:r w:rsidR="00697AAF">
        <w:tab/>
      </w:r>
      <w:r w:rsidR="00697AAF">
        <w:tab/>
      </w:r>
      <w:r w:rsidR="00BD7950">
        <w:tab/>
      </w:r>
      <w:r w:rsidR="09CC5CF1" w:rsidRPr="1260E285">
        <w:rPr>
          <w:rFonts w:ascii="Times" w:eastAsia="Times" w:hAnsi="Times" w:cs="Times"/>
          <w:color w:val="000000" w:themeColor="text1"/>
          <w:sz w:val="24"/>
          <w:szCs w:val="24"/>
        </w:rPr>
        <w:t>H1650</w:t>
      </w:r>
    </w:p>
    <w:p w14:paraId="6A2D12C2" w14:textId="529DF62A" w:rsidR="006C23FE" w:rsidRDefault="0865747A" w:rsidP="00BD7950">
      <w:pPr>
        <w:spacing w:line="276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7CBDB66C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TITLE: </w:t>
      </w:r>
      <w:r w:rsidR="00697AAF">
        <w:tab/>
      </w:r>
      <w:r w:rsidR="00697AAF">
        <w:tab/>
      </w:r>
      <w:r w:rsidR="00BD7950">
        <w:tab/>
      </w:r>
      <w:r w:rsidRPr="7CBDB66C">
        <w:rPr>
          <w:rFonts w:ascii="Times" w:eastAsia="Times" w:hAnsi="Times" w:cs="Times"/>
          <w:color w:val="000000" w:themeColor="text1"/>
          <w:sz w:val="24"/>
          <w:szCs w:val="24"/>
        </w:rPr>
        <w:t>An Act to stop mass shootings</w:t>
      </w:r>
    </w:p>
    <w:p w14:paraId="689D99C5" w14:textId="77777777" w:rsidR="00846690" w:rsidRDefault="0865747A" w:rsidP="00846690">
      <w:pPr>
        <w:spacing w:line="276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1260E285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SPONSOR: </w:t>
      </w:r>
      <w:r w:rsidR="00697AAF">
        <w:tab/>
      </w:r>
      <w:r w:rsidR="00697AAF">
        <w:tab/>
      </w:r>
      <w:r w:rsidR="00BD7950">
        <w:tab/>
      </w:r>
      <w:r w:rsidRPr="1260E285">
        <w:rPr>
          <w:rFonts w:ascii="Times" w:eastAsia="Times" w:hAnsi="Times" w:cs="Times"/>
          <w:color w:val="000000" w:themeColor="text1"/>
          <w:sz w:val="24"/>
          <w:szCs w:val="24"/>
        </w:rPr>
        <w:t xml:space="preserve">Rep. Marjorie Decker </w:t>
      </w:r>
    </w:p>
    <w:p w14:paraId="6FEBB3F7" w14:textId="5CA95E90" w:rsidR="00BD7950" w:rsidRDefault="0865747A" w:rsidP="00846690">
      <w:pPr>
        <w:spacing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0E87F038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COSPONSOR:</w:t>
      </w:r>
      <w:r w:rsidR="00697AAF">
        <w:tab/>
      </w:r>
      <w:r w:rsidR="00BD7950">
        <w:tab/>
      </w:r>
      <w:r w:rsidR="0E87F038" w:rsidRPr="0E87F038">
        <w:rPr>
          <w:rFonts w:ascii="Times" w:eastAsia="Times" w:hAnsi="Times" w:cs="Times"/>
          <w:color w:val="000000" w:themeColor="text1"/>
          <w:sz w:val="24"/>
          <w:szCs w:val="24"/>
        </w:rPr>
        <w:t>None</w:t>
      </w:r>
    </w:p>
    <w:p w14:paraId="3567A588" w14:textId="77777777" w:rsidR="00846690" w:rsidRDefault="00846690" w:rsidP="00846690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7927B9ED" w14:textId="68F54316" w:rsidR="00BD7950" w:rsidRDefault="0865747A" w:rsidP="00846690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19EB3611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HEARING DATE: </w:t>
      </w:r>
      <w:r w:rsidR="00697AAF">
        <w:tab/>
      </w:r>
      <w:r w:rsidR="00BD7950">
        <w:tab/>
      </w:r>
      <w:r w:rsidR="19EB3611" w:rsidRPr="19EB3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69B600BD" w14:textId="77777777" w:rsidR="00BD7950" w:rsidRDefault="00BD7950" w:rsidP="00846690">
      <w:pPr>
        <w:spacing w:after="0" w:line="240" w:lineRule="auto"/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</w:pPr>
    </w:p>
    <w:p w14:paraId="53EE0C09" w14:textId="4DFE0423" w:rsidR="006C23FE" w:rsidRDefault="0865747A" w:rsidP="00846690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7CBDB66C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PRIOR HISTORY: </w:t>
      </w:r>
      <w:r w:rsidR="00697AAF">
        <w:tab/>
      </w:r>
      <w:r w:rsidR="00BD7950">
        <w:tab/>
      </w:r>
      <w:r w:rsidRPr="7CBDB66C">
        <w:rPr>
          <w:rFonts w:ascii="Times" w:eastAsia="Times" w:hAnsi="Times" w:cs="Times"/>
          <w:color w:val="000000" w:themeColor="text1"/>
          <w:sz w:val="24"/>
          <w:szCs w:val="24"/>
        </w:rPr>
        <w:t>H1452 (2023-2024)</w:t>
      </w:r>
    </w:p>
    <w:p w14:paraId="764FC0C7" w14:textId="5D23767C" w:rsidR="006C23FE" w:rsidRDefault="0865747A" w:rsidP="00846690">
      <w:pPr>
        <w:spacing w:after="0" w:line="240" w:lineRule="auto"/>
        <w:ind w:left="2160" w:firstLine="720"/>
        <w:rPr>
          <w:rFonts w:ascii="Times" w:eastAsia="Times" w:hAnsi="Times" w:cs="Times"/>
          <w:color w:val="000000" w:themeColor="text1"/>
          <w:sz w:val="24"/>
          <w:szCs w:val="24"/>
        </w:rPr>
      </w:pPr>
      <w:r w:rsidRPr="7CBDB66C">
        <w:rPr>
          <w:rFonts w:ascii="Times" w:eastAsia="Times" w:hAnsi="Times" w:cs="Times"/>
          <w:color w:val="000000" w:themeColor="text1"/>
          <w:sz w:val="24"/>
          <w:szCs w:val="24"/>
        </w:rPr>
        <w:t>H4303 (2021-2022)</w:t>
      </w:r>
    </w:p>
    <w:p w14:paraId="3A996045" w14:textId="197073A7" w:rsidR="7CBDB66C" w:rsidRDefault="7CBDB66C" w:rsidP="00846690">
      <w:pPr>
        <w:spacing w:after="0" w:line="240" w:lineRule="auto"/>
        <w:ind w:left="2160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59A28D40" w14:textId="35563ECD" w:rsidR="00846690" w:rsidRDefault="00846690" w:rsidP="00846690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1260E285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SENATE BILL:</w:t>
      </w:r>
      <w:r>
        <w:tab/>
      </w:r>
      <w:r>
        <w:tab/>
      </w:r>
      <w:r w:rsidRPr="1260E285">
        <w:rPr>
          <w:rFonts w:ascii="Times" w:eastAsia="Times" w:hAnsi="Times" w:cs="Times"/>
          <w:color w:val="000000" w:themeColor="text1"/>
          <w:sz w:val="24"/>
          <w:szCs w:val="24"/>
        </w:rPr>
        <w:t>None</w:t>
      </w:r>
    </w:p>
    <w:p w14:paraId="138808DB" w14:textId="77777777" w:rsidR="00846690" w:rsidRPr="00BD7950" w:rsidRDefault="00846690" w:rsidP="00846690">
      <w:pPr>
        <w:spacing w:after="0" w:line="276" w:lineRule="auto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51A84F2E" w14:textId="3C7FFEEE" w:rsidR="385C0B8E" w:rsidRPr="00BD7950" w:rsidRDefault="00846690" w:rsidP="00BD7950">
      <w:pPr>
        <w:spacing w:after="0" w:line="276" w:lineRule="auto"/>
        <w:ind w:left="2880" w:hanging="2880"/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</w:pPr>
      <w:r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CURRENT</w:t>
      </w:r>
      <w:r w:rsidR="5E35D660" w:rsidRPr="056F9794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 LAW: </w:t>
      </w:r>
      <w:r w:rsidR="5E35D660">
        <w:tab/>
      </w:r>
      <w:r w:rsidR="385C0B8E" w:rsidRPr="056F9794">
        <w:rPr>
          <w:rFonts w:ascii="Times" w:eastAsia="Times" w:hAnsi="Times" w:cs="Times"/>
          <w:color w:val="000000" w:themeColor="text1"/>
          <w:sz w:val="24"/>
          <w:szCs w:val="24"/>
        </w:rPr>
        <w:t>S</w:t>
      </w:r>
      <w:r w:rsidR="385C0B8E" w:rsidRPr="056F9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ection 121 of chapter 140 of the General Laws defines relevant terms such as assault weapon and large capacity feeding device.</w:t>
      </w:r>
    </w:p>
    <w:p w14:paraId="5114512E" w14:textId="7A957CCE" w:rsidR="7CBDB66C" w:rsidRDefault="7CBDB66C" w:rsidP="00BD7950">
      <w:pPr>
        <w:spacing w:after="0" w:line="276" w:lineRule="auto"/>
        <w:ind w:left="2160"/>
      </w:pPr>
    </w:p>
    <w:p w14:paraId="7D747F09" w14:textId="4324B303" w:rsidR="7E529DE1" w:rsidRDefault="7E529DE1" w:rsidP="056F9794">
      <w:pPr>
        <w:spacing w:after="0" w:line="276" w:lineRule="auto"/>
        <w:ind w:left="2880"/>
        <w:rPr>
          <w:rFonts w:ascii="Times" w:eastAsia="Times" w:hAnsi="Times" w:cs="Times"/>
          <w:color w:val="000000" w:themeColor="text1"/>
          <w:sz w:val="24"/>
          <w:szCs w:val="24"/>
        </w:rPr>
      </w:pPr>
      <w:r w:rsidRPr="056F9794">
        <w:rPr>
          <w:rFonts w:ascii="Times" w:eastAsia="Times" w:hAnsi="Times" w:cs="Times"/>
          <w:color w:val="000000" w:themeColor="text1"/>
          <w:sz w:val="24"/>
          <w:szCs w:val="24"/>
        </w:rPr>
        <w:t>Section 131M of Chapter 140 restricts the sale and use of assault</w:t>
      </w:r>
      <w:r w:rsidR="00B72638">
        <w:rPr>
          <w:rFonts w:ascii="Times" w:eastAsia="Times" w:hAnsi="Times" w:cs="Times"/>
          <w:color w:val="000000" w:themeColor="text1"/>
          <w:sz w:val="24"/>
          <w:szCs w:val="24"/>
        </w:rPr>
        <w:t>-style firearm</w:t>
      </w:r>
      <w:r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s and large capacity feeding devices. The sale and </w:t>
      </w:r>
      <w:r w:rsidR="1AD59B93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transfer or importation of these </w:t>
      </w:r>
      <w:r w:rsidR="00B72638">
        <w:rPr>
          <w:rFonts w:ascii="Times" w:eastAsia="Times" w:hAnsi="Times" w:cs="Times"/>
          <w:color w:val="000000" w:themeColor="text1"/>
          <w:sz w:val="24"/>
          <w:szCs w:val="24"/>
        </w:rPr>
        <w:t>firearms and devices</w:t>
      </w:r>
      <w:r w:rsidR="1AD59B93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into the commonwealth</w:t>
      </w:r>
      <w:r w:rsidR="009111D8">
        <w:rPr>
          <w:rFonts w:ascii="Times" w:eastAsia="Times" w:hAnsi="Times" w:cs="Times"/>
          <w:color w:val="000000" w:themeColor="text1"/>
          <w:sz w:val="24"/>
          <w:szCs w:val="24"/>
        </w:rPr>
        <w:t xml:space="preserve"> is banned unless: (</w:t>
      </w:r>
      <w:proofErr w:type="spellStart"/>
      <w:r w:rsidR="009111D8">
        <w:rPr>
          <w:rFonts w:ascii="Times" w:eastAsia="Times" w:hAnsi="Times" w:cs="Times"/>
          <w:color w:val="000000" w:themeColor="text1"/>
          <w:sz w:val="24"/>
          <w:szCs w:val="24"/>
        </w:rPr>
        <w:t>i</w:t>
      </w:r>
      <w:proofErr w:type="spellEnd"/>
      <w:r w:rsidR="009111D8">
        <w:rPr>
          <w:rFonts w:ascii="Times" w:eastAsia="Times" w:hAnsi="Times" w:cs="Times"/>
          <w:color w:val="000000" w:themeColor="text1"/>
          <w:sz w:val="24"/>
          <w:szCs w:val="24"/>
        </w:rPr>
        <w:t>)</w:t>
      </w:r>
      <w:r w:rsidR="1AD59B93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 xml:space="preserve">the </w:t>
      </w:r>
      <w:r w:rsidR="1AD59B93" w:rsidRPr="056F9794">
        <w:rPr>
          <w:rFonts w:ascii="Times" w:eastAsia="Times" w:hAnsi="Times" w:cs="Times"/>
          <w:color w:val="000000" w:themeColor="text1"/>
          <w:sz w:val="24"/>
          <w:szCs w:val="24"/>
        </w:rPr>
        <w:t>assault</w:t>
      </w:r>
      <w:r w:rsidR="00B72638">
        <w:rPr>
          <w:rFonts w:ascii="Times" w:eastAsia="Times" w:hAnsi="Times" w:cs="Times"/>
          <w:color w:val="000000" w:themeColor="text1"/>
          <w:sz w:val="24"/>
          <w:szCs w:val="24"/>
        </w:rPr>
        <w:t>-style firearm</w:t>
      </w:r>
      <w:r w:rsidR="009111D8">
        <w:rPr>
          <w:rFonts w:ascii="Times" w:eastAsia="Times" w:hAnsi="Times" w:cs="Times"/>
          <w:color w:val="000000" w:themeColor="text1"/>
          <w:sz w:val="24"/>
          <w:szCs w:val="24"/>
        </w:rPr>
        <w:t xml:space="preserve"> 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>wa</w:t>
      </w:r>
      <w:r w:rsidR="009111D8">
        <w:rPr>
          <w:rFonts w:ascii="Times" w:eastAsia="Times" w:hAnsi="Times" w:cs="Times"/>
          <w:color w:val="000000" w:themeColor="text1"/>
          <w:sz w:val="24"/>
          <w:szCs w:val="24"/>
        </w:rPr>
        <w:t xml:space="preserve">s </w:t>
      </w:r>
      <w:r w:rsidR="1AD59B93" w:rsidRPr="056F9794">
        <w:rPr>
          <w:rFonts w:ascii="Times" w:eastAsia="Times" w:hAnsi="Times" w:cs="Times"/>
          <w:color w:val="000000" w:themeColor="text1"/>
          <w:sz w:val="24"/>
          <w:szCs w:val="24"/>
        </w:rPr>
        <w:t>legally ow</w:t>
      </w:r>
      <w:r w:rsidR="21711559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ned before August 1, </w:t>
      </w:r>
      <w:r w:rsidR="00B72638" w:rsidRPr="056F9794">
        <w:rPr>
          <w:rFonts w:ascii="Times" w:eastAsia="Times" w:hAnsi="Times" w:cs="Times"/>
          <w:color w:val="000000" w:themeColor="text1"/>
          <w:sz w:val="24"/>
          <w:szCs w:val="24"/>
        </w:rPr>
        <w:t>2024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>; or (ii)</w:t>
      </w:r>
      <w:r w:rsidR="21711559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 xml:space="preserve">the </w:t>
      </w:r>
      <w:r w:rsidR="21711559" w:rsidRPr="056F9794">
        <w:rPr>
          <w:rFonts w:ascii="Times" w:eastAsia="Times" w:hAnsi="Times" w:cs="Times"/>
          <w:color w:val="000000" w:themeColor="text1"/>
          <w:sz w:val="24"/>
          <w:szCs w:val="24"/>
        </w:rPr>
        <w:t>large capacity feeding device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 xml:space="preserve"> was </w:t>
      </w:r>
      <w:r w:rsidR="16B5AB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purchased or brought into the 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>c</w:t>
      </w:r>
      <w:r w:rsidR="16B5AB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ommonwealth before September 13, </w:t>
      </w:r>
      <w:r w:rsidR="00846690" w:rsidRPr="056F9794">
        <w:rPr>
          <w:rFonts w:ascii="Times" w:eastAsia="Times" w:hAnsi="Times" w:cs="Times"/>
          <w:color w:val="000000" w:themeColor="text1"/>
          <w:sz w:val="24"/>
          <w:szCs w:val="24"/>
        </w:rPr>
        <w:t>1994,</w:t>
      </w:r>
      <w:r w:rsidR="00C50075">
        <w:rPr>
          <w:rFonts w:ascii="Times" w:eastAsia="Times" w:hAnsi="Times" w:cs="Times"/>
          <w:color w:val="000000" w:themeColor="text1"/>
          <w:sz w:val="24"/>
          <w:szCs w:val="24"/>
        </w:rPr>
        <w:t xml:space="preserve"> and is </w:t>
      </w:r>
      <w:r w:rsidR="7634E4A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confined to private property, gunsmiths repair areas, a firing range or in route to those locations. </w:t>
      </w:r>
    </w:p>
    <w:p w14:paraId="54849D70" w14:textId="0E8AC897" w:rsidR="056F9794" w:rsidRDefault="056F9794" w:rsidP="056F9794">
      <w:pPr>
        <w:spacing w:after="0" w:line="276" w:lineRule="auto"/>
        <w:ind w:left="2160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684D9179" w14:textId="133E37F8" w:rsidR="006C23FE" w:rsidRDefault="00846690" w:rsidP="056F9794">
      <w:pPr>
        <w:spacing w:line="276" w:lineRule="auto"/>
        <w:ind w:left="2880" w:hanging="2880"/>
        <w:rPr>
          <w:rFonts w:ascii="Times" w:eastAsia="Times" w:hAnsi="Times" w:cs="Times"/>
          <w:color w:val="000000" w:themeColor="text1"/>
          <w:sz w:val="24"/>
          <w:szCs w:val="24"/>
        </w:rPr>
      </w:pPr>
      <w:r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 xml:space="preserve">BILL </w:t>
      </w:r>
      <w:r w:rsidR="0865747A" w:rsidRPr="056F9794"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  <w:t>SUMMARY:</w:t>
      </w:r>
      <w:r w:rsidR="006C23FE">
        <w:tab/>
      </w:r>
      <w:r w:rsidR="3391271D" w:rsidRPr="056F9794">
        <w:rPr>
          <w:rFonts w:ascii="Times" w:eastAsia="Times" w:hAnsi="Times" w:cs="Times"/>
          <w:color w:val="000000" w:themeColor="text1"/>
          <w:sz w:val="24"/>
          <w:szCs w:val="24"/>
        </w:rPr>
        <w:t>Section 1</w:t>
      </w:r>
      <w:r w:rsidR="3322936E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– </w:t>
      </w:r>
      <w:r w:rsidR="00B72638">
        <w:rPr>
          <w:rFonts w:ascii="Times" w:eastAsia="Times" w:hAnsi="Times" w:cs="Times"/>
          <w:color w:val="000000" w:themeColor="text1"/>
          <w:sz w:val="24"/>
          <w:szCs w:val="24"/>
        </w:rPr>
        <w:t>Adds</w:t>
      </w:r>
      <w:r w:rsidR="3322936E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a new section to Chapter 269</w:t>
      </w:r>
      <w:r w:rsidR="086574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prohibi</w:t>
      </w:r>
      <w:r w:rsidR="0418F942" w:rsidRPr="056F9794">
        <w:rPr>
          <w:rFonts w:ascii="Times" w:eastAsia="Times" w:hAnsi="Times" w:cs="Times"/>
          <w:color w:val="000000" w:themeColor="text1"/>
          <w:sz w:val="24"/>
          <w:szCs w:val="24"/>
        </w:rPr>
        <w:t>ting the</w:t>
      </w:r>
      <w:r w:rsidR="536A839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manufacturing</w:t>
      </w:r>
      <w:r w:rsidR="086574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</w:t>
      </w:r>
      <w:r w:rsidR="28B19C9C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of </w:t>
      </w:r>
      <w:r w:rsidR="0865747A" w:rsidRPr="056F9794">
        <w:rPr>
          <w:rFonts w:ascii="Times" w:eastAsia="Times" w:hAnsi="Times" w:cs="Times"/>
          <w:color w:val="000000" w:themeColor="text1"/>
          <w:sz w:val="24"/>
          <w:szCs w:val="24"/>
        </w:rPr>
        <w:t>assault</w:t>
      </w:r>
      <w:r w:rsidR="00B72638">
        <w:rPr>
          <w:rFonts w:ascii="Times" w:eastAsia="Times" w:hAnsi="Times" w:cs="Times"/>
          <w:color w:val="000000" w:themeColor="text1"/>
          <w:sz w:val="24"/>
          <w:szCs w:val="24"/>
        </w:rPr>
        <w:t>-style firearms</w:t>
      </w:r>
      <w:r w:rsidR="086574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 and large capacity feeding devices in the Commonwealth. This bill does not impact the sale to </w:t>
      </w:r>
      <w:r>
        <w:rPr>
          <w:rFonts w:ascii="Times" w:eastAsia="Times" w:hAnsi="Times" w:cs="Times"/>
          <w:color w:val="000000" w:themeColor="text1"/>
          <w:sz w:val="24"/>
          <w:szCs w:val="24"/>
        </w:rPr>
        <w:t xml:space="preserve">the </w:t>
      </w:r>
      <w:r w:rsidR="0865747A" w:rsidRPr="056F9794">
        <w:rPr>
          <w:rFonts w:ascii="Times" w:eastAsia="Times" w:hAnsi="Times" w:cs="Times"/>
          <w:color w:val="000000" w:themeColor="text1"/>
          <w:sz w:val="24"/>
          <w:szCs w:val="24"/>
        </w:rPr>
        <w:t xml:space="preserve">military or law enforcement.  Whoever violates this section will be punished by a fine of not less than $1,000 nor more than $1,000,000 or by imprisonment for not less than one year nor more than ten years, or both.  </w:t>
      </w:r>
    </w:p>
    <w:p w14:paraId="2C078E63" w14:textId="5983B1DD" w:rsidR="006C23FE" w:rsidRDefault="006C23FE" w:rsidP="00BD7950">
      <w:pPr>
        <w:spacing w:line="276" w:lineRule="auto"/>
      </w:pPr>
    </w:p>
    <w:sectPr w:rsidR="006C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22838"/>
    <w:rsid w:val="00697AAF"/>
    <w:rsid w:val="006C23FE"/>
    <w:rsid w:val="00846690"/>
    <w:rsid w:val="009111D8"/>
    <w:rsid w:val="00B72638"/>
    <w:rsid w:val="00BD7950"/>
    <w:rsid w:val="00C50075"/>
    <w:rsid w:val="0323DF63"/>
    <w:rsid w:val="0418F942"/>
    <w:rsid w:val="056F9794"/>
    <w:rsid w:val="08422838"/>
    <w:rsid w:val="0865747A"/>
    <w:rsid w:val="09CC5CF1"/>
    <w:rsid w:val="0D4DFD66"/>
    <w:rsid w:val="0E87F038"/>
    <w:rsid w:val="0FA56F63"/>
    <w:rsid w:val="1260E285"/>
    <w:rsid w:val="135B7AA4"/>
    <w:rsid w:val="14435DAB"/>
    <w:rsid w:val="16B5AB7A"/>
    <w:rsid w:val="1806C28C"/>
    <w:rsid w:val="19EB3611"/>
    <w:rsid w:val="1AD59B93"/>
    <w:rsid w:val="1D4996A7"/>
    <w:rsid w:val="1E4D4DBE"/>
    <w:rsid w:val="21711559"/>
    <w:rsid w:val="22E30E28"/>
    <w:rsid w:val="2444494C"/>
    <w:rsid w:val="26BABDD1"/>
    <w:rsid w:val="28B19C9C"/>
    <w:rsid w:val="2BDACB86"/>
    <w:rsid w:val="330E2644"/>
    <w:rsid w:val="3322936E"/>
    <w:rsid w:val="3391271D"/>
    <w:rsid w:val="385C0B8E"/>
    <w:rsid w:val="3F3109F1"/>
    <w:rsid w:val="4B295467"/>
    <w:rsid w:val="4CC0CCEB"/>
    <w:rsid w:val="4E8AF8F7"/>
    <w:rsid w:val="51538B67"/>
    <w:rsid w:val="521E42FD"/>
    <w:rsid w:val="536A839A"/>
    <w:rsid w:val="550E720E"/>
    <w:rsid w:val="5CDB1665"/>
    <w:rsid w:val="5E35D660"/>
    <w:rsid w:val="7133F649"/>
    <w:rsid w:val="71926FFA"/>
    <w:rsid w:val="72B755BF"/>
    <w:rsid w:val="75952102"/>
    <w:rsid w:val="7634E4AA"/>
    <w:rsid w:val="7CBDB66C"/>
    <w:rsid w:val="7E52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2838"/>
  <w15:chartTrackingRefBased/>
  <w15:docId w15:val="{5666B942-4821-498E-B0C9-8B93BD19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7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A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201B0-E511-4F1D-A38A-C067E4C2B9EE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2.xml><?xml version="1.0" encoding="utf-8"?>
<ds:datastoreItem xmlns:ds="http://schemas.openxmlformats.org/officeDocument/2006/customXml" ds:itemID="{BE9DF54D-809B-4DF2-AE56-6948C5862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1028E-6364-45AF-BBD4-5348E9B22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8</cp:revision>
  <dcterms:created xsi:type="dcterms:W3CDTF">2025-04-09T21:21:00Z</dcterms:created>
  <dcterms:modified xsi:type="dcterms:W3CDTF">2025-05-02T14:36:00Z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