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A798" w14:textId="77777777" w:rsidR="00D73096" w:rsidRDefault="00D73096" w:rsidP="00D73096">
      <w:pPr>
        <w:pStyle w:val="paragraph"/>
        <w:spacing w:before="0" w:beforeAutospacing="0" w:after="0" w:afterAutospacing="0"/>
        <w:jc w:val="center"/>
        <w:textAlignment w:val="baseline"/>
        <w:rPr>
          <w:sz w:val="18"/>
          <w:szCs w:val="18"/>
        </w:rPr>
      </w:pPr>
      <w:r w:rsidRPr="25AA9238">
        <w:rPr>
          <w:rStyle w:val="normaltextrun"/>
          <w:b/>
          <w:bCs/>
          <w:color w:val="000000" w:themeColor="text1"/>
          <w:sz w:val="48"/>
          <w:szCs w:val="48"/>
        </w:rPr>
        <w:t>Committee on Public Safety and Homeland Security</w:t>
      </w:r>
      <w:r w:rsidRPr="25AA9238">
        <w:rPr>
          <w:rStyle w:val="normaltextrun"/>
          <w:color w:val="000000" w:themeColor="text1"/>
          <w:sz w:val="48"/>
          <w:szCs w:val="48"/>
        </w:rPr>
        <w:t>   </w:t>
      </w:r>
      <w:r w:rsidRPr="25AA9238">
        <w:rPr>
          <w:rStyle w:val="eop"/>
          <w:color w:val="000000" w:themeColor="text1"/>
          <w:sz w:val="48"/>
          <w:szCs w:val="48"/>
        </w:rPr>
        <w:t> </w:t>
      </w:r>
    </w:p>
    <w:p w14:paraId="418330C9" w14:textId="77777777" w:rsidR="00D73096" w:rsidRDefault="00D73096" w:rsidP="00D73096">
      <w:pPr>
        <w:pStyle w:val="paragraph"/>
        <w:spacing w:before="0" w:beforeAutospacing="0" w:after="0" w:afterAutospacing="0"/>
        <w:jc w:val="center"/>
        <w:textAlignment w:val="baseline"/>
        <w:rPr>
          <w:sz w:val="18"/>
          <w:szCs w:val="18"/>
        </w:rPr>
      </w:pPr>
      <w:r w:rsidRPr="25AA9238">
        <w:rPr>
          <w:rStyle w:val="normaltextrun"/>
          <w:b/>
          <w:bCs/>
          <w:color w:val="000000" w:themeColor="text1"/>
        </w:rPr>
        <w:t>_____________________________________________________________________________</w:t>
      </w:r>
      <w:r w:rsidRPr="25AA9238">
        <w:rPr>
          <w:rStyle w:val="normaltextrun"/>
          <w:color w:val="000000" w:themeColor="text1"/>
        </w:rPr>
        <w:t>    </w:t>
      </w:r>
      <w:r w:rsidRPr="25AA9238">
        <w:rPr>
          <w:rStyle w:val="eop"/>
          <w:color w:val="000000" w:themeColor="text1"/>
        </w:rPr>
        <w:t> </w:t>
      </w:r>
    </w:p>
    <w:p w14:paraId="60F35C32"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i/>
          <w:iCs/>
          <w:color w:val="000000" w:themeColor="text1"/>
          <w:sz w:val="32"/>
          <w:szCs w:val="32"/>
        </w:rPr>
        <w:t>Bill Summary</w:t>
      </w:r>
      <w:r w:rsidRPr="25AA9238">
        <w:rPr>
          <w:rStyle w:val="normaltextrun"/>
          <w:color w:val="000000" w:themeColor="text1"/>
          <w:sz w:val="32"/>
          <w:szCs w:val="32"/>
        </w:rPr>
        <w:t>    </w:t>
      </w:r>
      <w:r w:rsidRPr="25AA9238">
        <w:rPr>
          <w:rStyle w:val="eop"/>
          <w:color w:val="000000" w:themeColor="text1"/>
          <w:sz w:val="32"/>
          <w:szCs w:val="32"/>
        </w:rPr>
        <w:t> </w:t>
      </w:r>
    </w:p>
    <w:p w14:paraId="7324C772"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65046616" w14:textId="77777777" w:rsidR="00D73096" w:rsidRDefault="00D73096" w:rsidP="00D73096">
      <w:pPr>
        <w:pStyle w:val="paragraph"/>
        <w:spacing w:before="0" w:beforeAutospacing="0" w:after="0" w:afterAutospacing="0"/>
        <w:textAlignment w:val="baseline"/>
        <w:rPr>
          <w:rStyle w:val="normaltextrun"/>
          <w:b/>
          <w:bCs/>
          <w:color w:val="000000"/>
          <w:sz w:val="22"/>
          <w:szCs w:val="22"/>
        </w:rPr>
      </w:pPr>
      <w:r w:rsidRPr="25AA9238">
        <w:rPr>
          <w:rStyle w:val="normaltextrun"/>
          <w:b/>
          <w:bCs/>
          <w:color w:val="000000" w:themeColor="text1"/>
          <w:sz w:val="22"/>
          <w:szCs w:val="22"/>
        </w:rPr>
        <w:t xml:space="preserve">Bill Number: </w:t>
      </w:r>
      <w:r w:rsidRPr="25AA9238">
        <w:rPr>
          <w:b/>
          <w:bCs/>
          <w:color w:val="000000" w:themeColor="text1"/>
          <w:sz w:val="22"/>
          <w:szCs w:val="22"/>
        </w:rPr>
        <w:t>H2569</w:t>
      </w:r>
    </w:p>
    <w:p w14:paraId="74CD35A0" w14:textId="77777777" w:rsidR="00D73096" w:rsidRDefault="00D73096" w:rsidP="00D73096">
      <w:pPr>
        <w:pStyle w:val="paragraph"/>
        <w:spacing w:before="0" w:beforeAutospacing="0" w:after="0" w:afterAutospacing="0"/>
        <w:textAlignment w:val="baseline"/>
        <w:rPr>
          <w:sz w:val="18"/>
          <w:szCs w:val="18"/>
        </w:rPr>
      </w:pPr>
    </w:p>
    <w:p w14:paraId="7F8F40F2"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b/>
          <w:bCs/>
          <w:color w:val="000000" w:themeColor="text1"/>
        </w:rPr>
        <w:t xml:space="preserve">Name: </w:t>
      </w:r>
      <w:r w:rsidRPr="25AA9238">
        <w:rPr>
          <w:b/>
          <w:bCs/>
          <w:color w:val="000000" w:themeColor="text1"/>
        </w:rPr>
        <w:t>An Act expanding the availability of adaptable housing for people with disabilities and seniors </w:t>
      </w:r>
    </w:p>
    <w:p w14:paraId="35BB6DA4"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7269EB71" w14:textId="77777777" w:rsidR="00D73096" w:rsidRDefault="00D73096" w:rsidP="00D73096">
      <w:pPr>
        <w:pStyle w:val="paragraph"/>
        <w:spacing w:before="0" w:beforeAutospacing="0" w:after="0" w:afterAutospacing="0"/>
        <w:textAlignment w:val="baseline"/>
        <w:rPr>
          <w:rStyle w:val="normaltextrun"/>
          <w:color w:val="000000"/>
        </w:rPr>
      </w:pPr>
      <w:r w:rsidRPr="25AA9238">
        <w:rPr>
          <w:rStyle w:val="normaltextrun"/>
          <w:b/>
          <w:bCs/>
          <w:color w:val="000000" w:themeColor="text1"/>
        </w:rPr>
        <w:t xml:space="preserve">Sponsor(s): </w:t>
      </w:r>
      <w:r w:rsidRPr="25AA9238">
        <w:rPr>
          <w:rStyle w:val="normaltextrun"/>
          <w:color w:val="000000" w:themeColor="text1"/>
        </w:rPr>
        <w:t xml:space="preserve">Representative </w:t>
      </w:r>
      <w:r w:rsidRPr="25AA9238">
        <w:rPr>
          <w:color w:val="000000" w:themeColor="text1"/>
        </w:rPr>
        <w:t>Christine Barber</w:t>
      </w:r>
    </w:p>
    <w:p w14:paraId="647A3719" w14:textId="77777777" w:rsidR="00D73096" w:rsidRDefault="00D73096" w:rsidP="00D73096">
      <w:pPr>
        <w:pStyle w:val="paragraph"/>
        <w:spacing w:before="0" w:beforeAutospacing="0" w:after="0" w:afterAutospacing="0"/>
        <w:textAlignment w:val="baseline"/>
        <w:rPr>
          <w:sz w:val="18"/>
          <w:szCs w:val="18"/>
        </w:rPr>
      </w:pPr>
    </w:p>
    <w:p w14:paraId="3FA0AD66"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b/>
          <w:bCs/>
          <w:color w:val="000000" w:themeColor="text1"/>
        </w:rPr>
        <w:t xml:space="preserve">Hearing Date: </w:t>
      </w:r>
      <w:r w:rsidRPr="25AA9238">
        <w:rPr>
          <w:rStyle w:val="normaltextrun"/>
          <w:color w:val="000000" w:themeColor="text1"/>
        </w:rPr>
        <w:t>TBD</w:t>
      </w:r>
      <w:r w:rsidRPr="25AA9238">
        <w:rPr>
          <w:rStyle w:val="eop"/>
          <w:color w:val="000000" w:themeColor="text1"/>
        </w:rPr>
        <w:t> </w:t>
      </w:r>
    </w:p>
    <w:p w14:paraId="1228EA70"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46B68FFF" w14:textId="77777777" w:rsidR="00D73096" w:rsidRDefault="00D73096" w:rsidP="00D73096">
      <w:pPr>
        <w:pStyle w:val="paragraph"/>
        <w:spacing w:before="0" w:beforeAutospacing="0" w:after="0" w:afterAutospacing="0"/>
        <w:textAlignment w:val="baseline"/>
        <w:rPr>
          <w:sz w:val="18"/>
          <w:szCs w:val="18"/>
        </w:rPr>
      </w:pPr>
      <w:r w:rsidRPr="25AA9238">
        <w:rPr>
          <w:rStyle w:val="normaltextrun"/>
          <w:b/>
          <w:bCs/>
          <w:color w:val="000000" w:themeColor="text1"/>
        </w:rPr>
        <w:t>Prior History: Favorable</w:t>
      </w:r>
    </w:p>
    <w:p w14:paraId="64BF0426" w14:textId="77777777" w:rsidR="00D73096" w:rsidRDefault="00D73096" w:rsidP="00D73096">
      <w:pPr>
        <w:pStyle w:val="paragraph"/>
        <w:spacing w:before="0" w:beforeAutospacing="0" w:after="0" w:afterAutospacing="0"/>
        <w:textAlignment w:val="baseline"/>
        <w:rPr>
          <w:sz w:val="18"/>
          <w:szCs w:val="18"/>
        </w:rPr>
      </w:pPr>
      <w:r w:rsidRPr="25AA9238">
        <w:rPr>
          <w:rStyle w:val="eop"/>
          <w:color w:val="000000" w:themeColor="text1"/>
        </w:rPr>
        <w:t> </w:t>
      </w:r>
    </w:p>
    <w:p w14:paraId="0F0F0FD5" w14:textId="77777777" w:rsidR="00D73096" w:rsidRPr="005709D6" w:rsidRDefault="00D73096" w:rsidP="00D73096">
      <w:pPr>
        <w:pStyle w:val="paragraph"/>
        <w:textAlignment w:val="baseline"/>
        <w:rPr>
          <w:color w:val="000000"/>
        </w:rPr>
      </w:pPr>
      <w:r w:rsidRPr="25AA9238">
        <w:rPr>
          <w:rStyle w:val="normaltextrun"/>
          <w:b/>
          <w:bCs/>
          <w:color w:val="000000"/>
        </w:rPr>
        <w:t>Summary:</w:t>
      </w:r>
      <w:r w:rsidRPr="25AA9238">
        <w:rPr>
          <w:rStyle w:val="scxw122085497"/>
          <w:color w:val="000000"/>
        </w:rPr>
        <w:t> </w:t>
      </w:r>
      <w:r w:rsidRPr="25AA9238">
        <w:rPr>
          <w:b/>
          <w:bCs/>
          <w:color w:val="000000"/>
        </w:rPr>
        <w:t>Section 1</w:t>
      </w:r>
      <w:r w:rsidRPr="25AA9238">
        <w:rPr>
          <w:color w:val="000000"/>
        </w:rPr>
        <w:t xml:space="preserve"> amends Section 13A of Chapter 22</w:t>
      </w:r>
      <w:r w:rsidRPr="25AA9238">
        <w:rPr>
          <w:color w:val="555555"/>
          <w:kern w:val="2"/>
          <w:sz w:val="21"/>
          <w:szCs w:val="21"/>
          <w:shd w:val="clear" w:color="auto" w:fill="F2F2F2"/>
          <w14:ligatures w14:val="standardContextual"/>
        </w:rPr>
        <w:t xml:space="preserve"> </w:t>
      </w:r>
      <w:r w:rsidRPr="25AA9238">
        <w:rPr>
          <w:color w:val="000000"/>
        </w:rPr>
        <w:t>of the General Laws, as amended by section 29 of chapter 39 of the acts of 2021, to require that two of the appointed board members be licensed architects, one be a licensed building inspector, and three members be selected in consultation with advocacy groups representing individuals with disabilities.</w:t>
      </w:r>
    </w:p>
    <w:p w14:paraId="4FDF12AE" w14:textId="77777777" w:rsidR="00D73096" w:rsidRPr="005709D6" w:rsidRDefault="00D73096" w:rsidP="00D73096">
      <w:pPr>
        <w:pStyle w:val="paragraph"/>
        <w:textAlignment w:val="baseline"/>
        <w:rPr>
          <w:color w:val="000000"/>
        </w:rPr>
      </w:pPr>
      <w:r w:rsidRPr="25AA9238">
        <w:rPr>
          <w:b/>
          <w:bCs/>
          <w:color w:val="000000" w:themeColor="text1"/>
        </w:rPr>
        <w:t>Section 2</w:t>
      </w:r>
      <w:r w:rsidRPr="25AA9238">
        <w:rPr>
          <w:color w:val="000000" w:themeColor="text1"/>
        </w:rPr>
        <w:t xml:space="preserve"> provides that the board may modify, alter, or amend the rules and regulations applicable to any facility, including spaces not generally open to the public, to ensure they are safe for use by individuals with disabilities. Additionally, between 5 percent and 10 percent of the units must be accessible to individuals with disabilities. The board may revise the definition of "accessible to the disabled" as needed. Parking areas must comply with ADA standards. The section also defines which properties are subject to design regulations intended to benefit individuals with disabilities.</w:t>
      </w:r>
    </w:p>
    <w:p w14:paraId="3BDC6ECF" w14:textId="77777777" w:rsidR="00D73096" w:rsidRPr="005709D6" w:rsidRDefault="00D73096" w:rsidP="00D73096">
      <w:pPr>
        <w:pStyle w:val="paragraph"/>
        <w:textAlignment w:val="baseline"/>
        <w:rPr>
          <w:color w:val="000000"/>
        </w:rPr>
      </w:pPr>
      <w:r w:rsidRPr="25AA9238">
        <w:rPr>
          <w:b/>
          <w:bCs/>
          <w:color w:val="000000" w:themeColor="text1"/>
        </w:rPr>
        <w:t>Section 17</w:t>
      </w:r>
      <w:r w:rsidRPr="25AA9238">
        <w:rPr>
          <w:color w:val="000000" w:themeColor="text1"/>
        </w:rPr>
        <w:t xml:space="preserve"> further amends Section 13A by defining the terms “employee work area,” “facility,” and “gut rehabilitation” for purposes of determining accessibility.</w:t>
      </w:r>
    </w:p>
    <w:p w14:paraId="1293CDA0" w14:textId="77777777" w:rsidR="00D73096" w:rsidRPr="005709D6" w:rsidRDefault="00D73096" w:rsidP="00D73096">
      <w:pPr>
        <w:pStyle w:val="paragraph"/>
        <w:textAlignment w:val="baseline"/>
        <w:rPr>
          <w:color w:val="000000"/>
        </w:rPr>
      </w:pPr>
      <w:r w:rsidRPr="25AA9238">
        <w:rPr>
          <w:b/>
          <w:bCs/>
          <w:color w:val="000000" w:themeColor="text1"/>
        </w:rPr>
        <w:t>Section 20</w:t>
      </w:r>
      <w:r w:rsidRPr="25AA9238">
        <w:rPr>
          <w:color w:val="000000" w:themeColor="text1"/>
        </w:rPr>
        <w:t xml:space="preserve"> expands the definition of “public buildings” to include not only buildings owned by the Commonwealth or its political subdivisions, but also any building open for public accommodation.</w:t>
      </w:r>
    </w:p>
    <w:p w14:paraId="4B441F1C" w14:textId="77777777" w:rsidR="00D73096" w:rsidRDefault="00D73096" w:rsidP="00D73096">
      <w:pPr>
        <w:pStyle w:val="paragraph"/>
        <w:textAlignment w:val="baseline"/>
        <w:rPr>
          <w:sz w:val="18"/>
          <w:szCs w:val="18"/>
        </w:rPr>
      </w:pPr>
      <w:r w:rsidRPr="25AA9238">
        <w:rPr>
          <w:sz w:val="18"/>
          <w:szCs w:val="18"/>
        </w:rPr>
        <w:br w:type="page"/>
      </w:r>
    </w:p>
    <w:p w14:paraId="7D87B745" w14:textId="77777777" w:rsidR="00D73096" w:rsidRDefault="00D73096"/>
    <w:sectPr w:rsidR="00D7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96"/>
    <w:rsid w:val="00D73096"/>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56C0"/>
  <w15:chartTrackingRefBased/>
  <w15:docId w15:val="{4D361EED-D8E8-4C4A-AB1B-40776C8F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3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3096"/>
  </w:style>
  <w:style w:type="character" w:customStyle="1" w:styleId="eop">
    <w:name w:val="eop"/>
    <w:basedOn w:val="DefaultParagraphFont"/>
    <w:rsid w:val="00D73096"/>
  </w:style>
  <w:style w:type="character" w:customStyle="1" w:styleId="scxw122085497">
    <w:name w:val="scxw122085497"/>
    <w:basedOn w:val="DefaultParagraphFont"/>
    <w:rsid w:val="00D7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C1EC3253-8561-41FF-A6DC-3C5FC4558DED}"/>
</file>

<file path=customXml/itemProps2.xml><?xml version="1.0" encoding="utf-8"?>
<ds:datastoreItem xmlns:ds="http://schemas.openxmlformats.org/officeDocument/2006/customXml" ds:itemID="{F730644E-E0A5-4A61-A2C8-B1EA105B13DF}"/>
</file>

<file path=customXml/itemProps3.xml><?xml version="1.0" encoding="utf-8"?>
<ds:datastoreItem xmlns:ds="http://schemas.openxmlformats.org/officeDocument/2006/customXml" ds:itemID="{9FDEADAA-B03F-42C9-9C41-BEAD79DCAA2F}"/>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2025-04-16T13:44:00Z</dcterms:created>
  <dcterms:modified xsi:type="dcterms:W3CDTF">2025-04-16T13:44:00Z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