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7D0" w:rsidP="00AC07D0" w:rsidRDefault="00AC07D0" w14:paraId="594EF64B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name="_Hlk194483755" w:id="0"/>
      <w:r>
        <w:rPr>
          <w:rStyle w:val="normaltextrun"/>
          <w:rFonts w:eastAsiaTheme="majorEastAsia"/>
          <w:b/>
          <w:bCs/>
          <w:color w:val="000000"/>
          <w:sz w:val="48"/>
          <w:szCs w:val="48"/>
        </w:rPr>
        <w:t>Committee on Public Safety and Homeland Security</w:t>
      </w:r>
      <w:r>
        <w:rPr>
          <w:rStyle w:val="normaltextrun"/>
          <w:rFonts w:ascii="Arial" w:hAnsi="Arial" w:cs="Arial" w:eastAsiaTheme="majorEastAsia"/>
          <w:color w:val="000000"/>
          <w:sz w:val="48"/>
          <w:szCs w:val="48"/>
        </w:rPr>
        <w:t>  </w:t>
      </w:r>
    </w:p>
    <w:p w:rsidR="00AC07D0" w:rsidP="00AC07D0" w:rsidRDefault="00AC07D0" w14:paraId="454B8B1D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_____________________________________________________________________________</w:t>
      </w:r>
      <w:r>
        <w:rPr>
          <w:rStyle w:val="normaltextrun"/>
          <w:rFonts w:eastAsiaTheme="majorEastAsia"/>
          <w:color w:val="000000"/>
        </w:rPr>
        <w:t>   </w:t>
      </w:r>
      <w:r>
        <w:rPr>
          <w:rStyle w:val="eop"/>
          <w:rFonts w:eastAsiaTheme="majorEastAsia"/>
          <w:color w:val="000000"/>
        </w:rPr>
        <w:t> </w:t>
      </w:r>
    </w:p>
    <w:p w:rsidR="00AC07D0" w:rsidP="00AC07D0" w:rsidRDefault="00AC07D0" w14:paraId="7E24B8A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000000"/>
          <w:sz w:val="32"/>
          <w:szCs w:val="32"/>
        </w:rPr>
        <w:t>Bill Summary</w:t>
      </w:r>
      <w:r>
        <w:rPr>
          <w:rStyle w:val="normaltextrun"/>
          <w:rFonts w:eastAsiaTheme="majorEastAsia"/>
          <w:color w:val="000000"/>
          <w:sz w:val="32"/>
          <w:szCs w:val="32"/>
        </w:rPr>
        <w:t>   </w:t>
      </w:r>
      <w:r>
        <w:rPr>
          <w:rStyle w:val="eop"/>
          <w:rFonts w:eastAsiaTheme="majorEastAsia"/>
          <w:color w:val="000000"/>
          <w:sz w:val="32"/>
          <w:szCs w:val="32"/>
        </w:rPr>
        <w:t> </w:t>
      </w:r>
    </w:p>
    <w:p w:rsidR="00AC07D0" w:rsidP="00AC07D0" w:rsidRDefault="00AC07D0" w14:paraId="61CC550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 </w:t>
      </w:r>
      <w:r>
        <w:rPr>
          <w:rStyle w:val="eop"/>
          <w:rFonts w:eastAsiaTheme="majorEastAsia"/>
          <w:color w:val="000000"/>
        </w:rPr>
        <w:t> </w:t>
      </w:r>
    </w:p>
    <w:p w:rsidRPr="00D86666" w:rsidR="00AC07D0" w:rsidP="00AC07D0" w:rsidRDefault="00AC07D0" w14:paraId="76E5D0B7" w14:textId="77777777">
      <w:pP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</w:pPr>
      <w:r w:rsidRPr="00D86666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Bill Number: </w:t>
      </w:r>
      <w:r w:rsidRPr="00D86666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  <w:t>H2641</w:t>
      </w:r>
    </w:p>
    <w:p w:rsidRPr="00D86666" w:rsidR="00AC07D0" w:rsidP="00AC07D0" w:rsidRDefault="00AC07D0" w14:paraId="6984F603" w14:textId="77777777">
      <w:pPr>
        <w:pStyle w:val="paragraph"/>
        <w:spacing w:after="0"/>
        <w:textAlignment w:val="baseline"/>
        <w:rPr>
          <w:rFonts w:eastAsiaTheme="majorEastAsia"/>
          <w:color w:val="000000"/>
        </w:rPr>
      </w:pPr>
      <w:r w:rsidRPr="4A18FC54" w:rsidR="00AC07D0">
        <w:rPr>
          <w:rStyle w:val="normaltextrun"/>
          <w:rFonts w:eastAsia="" w:eastAsiaTheme="majorEastAsia"/>
          <w:b w:val="1"/>
          <w:bCs w:val="1"/>
          <w:color w:val="000000" w:themeColor="text1" w:themeTint="FF" w:themeShade="FF"/>
        </w:rPr>
        <w:t xml:space="preserve">Name: </w:t>
      </w:r>
      <w:r w:rsidRPr="4A18FC54" w:rsidR="00AC07D0">
        <w:rPr>
          <w:rStyle w:val="normaltextrun"/>
          <w:rFonts w:eastAsia="" w:eastAsiaTheme="majorEastAsia"/>
          <w:color w:val="000000" w:themeColor="text1" w:themeTint="FF" w:themeShade="FF"/>
        </w:rPr>
        <w:t xml:space="preserve">An </w:t>
      </w:r>
      <w:r w:rsidRPr="4A18FC54" w:rsidR="00AC07D0">
        <w:rPr>
          <w:rFonts w:eastAsia="" w:eastAsiaTheme="majorEastAsia"/>
          <w:color w:val="000000" w:themeColor="text1" w:themeTint="FF" w:themeShade="FF"/>
        </w:rPr>
        <w:t>Act relative to the safe storage of nationally recognized testing laboratory electric mobility devices.</w:t>
      </w:r>
    </w:p>
    <w:p w:rsidR="4A18FC54" w:rsidP="4A18FC54" w:rsidRDefault="4A18FC54" w14:paraId="4B8DBD5E" w14:textId="03C6DF00">
      <w:pPr>
        <w:pStyle w:val="paragraph"/>
        <w:spacing w:before="0" w:beforeAutospacing="off" w:after="0" w:afterAutospacing="off"/>
        <w:rPr>
          <w:rStyle w:val="normaltextrun"/>
          <w:rFonts w:eastAsia="" w:eastAsiaTheme="majorEastAsia"/>
          <w:b w:val="1"/>
          <w:bCs w:val="1"/>
          <w:color w:val="000000" w:themeColor="text1" w:themeTint="FF" w:themeShade="FF"/>
        </w:rPr>
      </w:pPr>
    </w:p>
    <w:p w:rsidRPr="00D86666" w:rsidR="00AC07D0" w:rsidP="00AC07D0" w:rsidRDefault="00AC07D0" w14:paraId="2CDEC2E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  <w:r w:rsidRPr="00D86666">
        <w:rPr>
          <w:rStyle w:val="normaltextrun"/>
          <w:rFonts w:eastAsiaTheme="majorEastAsia"/>
          <w:b/>
          <w:bCs/>
          <w:color w:val="000000"/>
        </w:rPr>
        <w:t xml:space="preserve">Sponsor(s): </w:t>
      </w:r>
      <w:r w:rsidRPr="00D86666">
        <w:rPr>
          <w:rStyle w:val="normaltextrun"/>
          <w:rFonts w:eastAsiaTheme="majorEastAsia"/>
          <w:color w:val="000000"/>
        </w:rPr>
        <w:t xml:space="preserve">Representative Steven S. Howitt </w:t>
      </w:r>
    </w:p>
    <w:p w:rsidRPr="00D86666" w:rsidR="00AC07D0" w:rsidP="00AC07D0" w:rsidRDefault="00AC07D0" w14:paraId="78E814B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:rsidRPr="00D86666" w:rsidR="00AC07D0" w:rsidP="00AC07D0" w:rsidRDefault="00AC07D0" w14:paraId="7A70D4C0" w14:textId="77777777">
      <w:pPr>
        <w:pStyle w:val="paragraph"/>
        <w:spacing w:before="0" w:beforeAutospacing="0" w:after="0" w:afterAutospacing="0"/>
        <w:textAlignment w:val="baseline"/>
      </w:pPr>
      <w:r w:rsidRPr="00D86666">
        <w:rPr>
          <w:rStyle w:val="normaltextrun"/>
          <w:rFonts w:eastAsiaTheme="majorEastAsia"/>
          <w:b/>
          <w:bCs/>
          <w:color w:val="000000"/>
        </w:rPr>
        <w:t xml:space="preserve">Hearing Date: </w:t>
      </w:r>
      <w:r w:rsidRPr="00D86666">
        <w:rPr>
          <w:rStyle w:val="normaltextrun"/>
          <w:rFonts w:eastAsiaTheme="majorEastAsia"/>
          <w:color w:val="000000"/>
        </w:rPr>
        <w:t>TBD</w:t>
      </w:r>
    </w:p>
    <w:p w:rsidRPr="00D86666" w:rsidR="00AC07D0" w:rsidP="00AC07D0" w:rsidRDefault="00AC07D0" w14:paraId="559EC335" w14:textId="77777777">
      <w:pPr>
        <w:pStyle w:val="paragraph"/>
        <w:adjustRightInd w:val="0"/>
        <w:spacing w:before="0" w:beforeAutospacing="0" w:after="0" w:afterAutospacing="0"/>
        <w:textAlignment w:val="baseline"/>
      </w:pPr>
      <w:r w:rsidRPr="00D86666">
        <w:rPr>
          <w:rStyle w:val="normaltextrun"/>
          <w:rFonts w:eastAsiaTheme="majorEastAsia"/>
          <w:color w:val="000000"/>
        </w:rPr>
        <w:t> </w:t>
      </w:r>
      <w:r w:rsidRPr="00D86666">
        <w:rPr>
          <w:rStyle w:val="eop"/>
          <w:rFonts w:eastAsiaTheme="majorEastAsia"/>
          <w:color w:val="000000"/>
        </w:rPr>
        <w:t> </w:t>
      </w:r>
    </w:p>
    <w:p w:rsidRPr="00D86666" w:rsidR="00AC07D0" w:rsidP="00AC07D0" w:rsidRDefault="00AC07D0" w14:paraId="46B3B30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  <w:r w:rsidRPr="00D86666">
        <w:rPr>
          <w:rStyle w:val="normaltextrun"/>
          <w:rFonts w:eastAsiaTheme="majorEastAsia"/>
          <w:b/>
          <w:bCs/>
          <w:color w:val="000000"/>
        </w:rPr>
        <w:t xml:space="preserve">Prior History: </w:t>
      </w:r>
      <w:r w:rsidRPr="00D86666">
        <w:rPr>
          <w:rStyle w:val="normaltextrun"/>
          <w:rFonts w:eastAsiaTheme="majorEastAsia"/>
          <w:color w:val="000000"/>
        </w:rPr>
        <w:t xml:space="preserve">  N/A</w:t>
      </w:r>
    </w:p>
    <w:p w:rsidRPr="00D86666" w:rsidR="00AC07D0" w:rsidP="00AC07D0" w:rsidRDefault="00AC07D0" w14:paraId="76E7E72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:rsidRPr="00D86666" w:rsidR="00AC07D0" w:rsidP="00AC07D0" w:rsidRDefault="00AC07D0" w14:paraId="399C0502" w14:textId="77777777">
      <w:pPr>
        <w:tabs>
          <w:tab w:val="left" w:pos="1880"/>
        </w:tabs>
        <w:rPr>
          <w:rStyle w:val="normaltextrun"/>
          <w:rFonts w:ascii="Times New Roman" w:hAnsi="Times New Roman" w:cs="Times New Roman" w:eastAsiaTheme="majorEastAsia"/>
          <w:b/>
          <w:bCs/>
          <w:color w:val="000000"/>
          <w:sz w:val="24"/>
          <w:szCs w:val="24"/>
        </w:rPr>
      </w:pPr>
      <w:r w:rsidRPr="00D86666">
        <w:rPr>
          <w:rStyle w:val="normaltextrun"/>
          <w:rFonts w:ascii="Times New Roman" w:hAnsi="Times New Roman" w:cs="Times New Roman" w:eastAsiaTheme="majorEastAsia"/>
          <w:b/>
          <w:bCs/>
          <w:color w:val="000000"/>
          <w:sz w:val="24"/>
          <w:szCs w:val="24"/>
        </w:rPr>
        <w:t>Summary:</w:t>
      </w:r>
      <w:r w:rsidRPr="00D86666">
        <w:rPr>
          <w:rStyle w:val="normaltextrun"/>
          <w:rFonts w:ascii="Times New Roman" w:hAnsi="Times New Roman" w:cs="Times New Roman" w:eastAsiaTheme="majorEastAsia"/>
          <w:b/>
          <w:bCs/>
          <w:color w:val="000000"/>
          <w:sz w:val="24"/>
          <w:szCs w:val="24"/>
        </w:rPr>
        <w:tab/>
      </w:r>
    </w:p>
    <w:bookmarkEnd w:id="0"/>
    <w:p w:rsidRPr="00D86666" w:rsidR="00AC07D0" w:rsidP="00AC07D0" w:rsidRDefault="00AC07D0" w14:paraId="3178F3F8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</w:pPr>
      <w:r w:rsidRPr="00D86666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  <w:t xml:space="preserve">This bill proposes to amend Chapter 148 (FIRE PREVENTION) of the General Laws, as appearing in the 2022 Official Edition, by </w:t>
      </w:r>
      <w:proofErr w:type="gramStart"/>
      <w:r w:rsidRPr="00D86666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  <w:t>adding</w:t>
      </w:r>
      <w:proofErr w:type="gramEnd"/>
      <w:r w:rsidRPr="00D86666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:rsidRPr="00D86666" w:rsidR="00AC07D0" w:rsidP="00AC07D0" w:rsidRDefault="00AC07D0" w14:paraId="08344D8F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Pr="00D86666" w:rsidR="00AC07D0" w:rsidP="00AC07D0" w:rsidRDefault="00AC07D0" w14:paraId="59901FF8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</w:pPr>
      <w:r w:rsidRPr="00D86666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  <w:t xml:space="preserve">Section 61: Storage of electric mobility devices powered by lithium-ion batteries; outdoor storage requirements and safety regulations. Section 61 establishes storage and safety regulations for electric bicycles and </w:t>
      </w:r>
      <w:proofErr w:type="spellStart"/>
      <w:r w:rsidRPr="00D86666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  <w:t>micromobility</w:t>
      </w:r>
      <w:proofErr w:type="spellEnd"/>
      <w:r w:rsidRPr="00D86666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  <w:t xml:space="preserve"> devices powered by lithium-ion batteries. </w:t>
      </w:r>
    </w:p>
    <w:p w:rsidRPr="00D86666" w:rsidR="00AC07D0" w:rsidP="00AC07D0" w:rsidRDefault="00AC07D0" w14:paraId="09274FB4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Pr="00D86666" w:rsidR="00AC07D0" w:rsidP="00AC07D0" w:rsidRDefault="00AC07D0" w14:paraId="4429615D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</w:pPr>
      <w:r w:rsidRPr="00D86666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  <w:t>Only certified devices tested by a Nationally Recognized Testing Laboratory (NRTL) may be stored indoors; non-certified devices must be stored outside unless space restrictions require a certified battery containment enclosure. Devices must be kept at least 10 feet from doors, windows, and exits. V</w:t>
      </w:r>
    </w:p>
    <w:p w:rsidRPr="00D86666" w:rsidR="00AC07D0" w:rsidP="00AC07D0" w:rsidRDefault="00AC07D0" w14:paraId="028916BD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Pr="00D86666" w:rsidR="00AC07D0" w:rsidP="00AC07D0" w:rsidRDefault="00AC07D0" w14:paraId="6039FDFD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</w:pPr>
      <w:r w:rsidRPr="00D86666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  <w:t>Violations may result in fines up to $500. Additionally, the Department of Fire Services will lead a public awareness campaign on the risks of improper battery storage.</w:t>
      </w:r>
    </w:p>
    <w:p w:rsidRPr="00D86666" w:rsidR="00AC07D0" w:rsidP="00AC07D0" w:rsidRDefault="00AC07D0" w14:paraId="2BD1CEFF" w14:textId="77777777">
      <w:pPr>
        <w:tabs>
          <w:tab w:val="left" w:pos="1880"/>
        </w:tabs>
        <w:rPr>
          <w:rStyle w:val="normaltextrun"/>
          <w:rFonts w:ascii="Times New Roman" w:hAnsi="Times New Roman" w:cs="Times New Roman" w:eastAsiaTheme="majorEastAsia"/>
          <w:b/>
          <w:bCs/>
          <w:color w:val="000000"/>
          <w:sz w:val="24"/>
          <w:szCs w:val="24"/>
        </w:rPr>
      </w:pPr>
    </w:p>
    <w:p w:rsidR="00AC07D0" w:rsidP="00AC07D0" w:rsidRDefault="00AC07D0" w14:paraId="2AFECF53" w14:textId="77777777"/>
    <w:p w:rsidR="00AC07D0" w:rsidP="00AC07D0" w:rsidRDefault="00AC07D0" w14:paraId="0C646FF5" w14:textId="77777777">
      <w:r>
        <w:br w:type="page"/>
      </w:r>
    </w:p>
    <w:p w:rsidR="00AC07D0" w:rsidRDefault="00AC07D0" w14:paraId="7684CD83" w14:textId="77777777"/>
    <w:sectPr w:rsidR="00AC07D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D0"/>
    <w:rsid w:val="00AC07D0"/>
    <w:rsid w:val="00EE34F4"/>
    <w:rsid w:val="4A18F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B3FA9"/>
  <w15:chartTrackingRefBased/>
  <w15:docId w15:val="{8FCEEACC-00C9-4D5B-8333-1909AB4E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07D0"/>
    <w:rPr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AC07D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</w:rPr>
  </w:style>
  <w:style w:type="character" w:styleId="normaltextrun" w:customStyle="1">
    <w:name w:val="normaltextrun"/>
    <w:basedOn w:val="DefaultParagraphFont"/>
    <w:rsid w:val="00AC07D0"/>
  </w:style>
  <w:style w:type="character" w:styleId="eop" w:customStyle="1">
    <w:name w:val="eop"/>
    <w:basedOn w:val="DefaultParagraphFont"/>
    <w:rsid w:val="00AC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10" ma:contentTypeDescription="Create a new document." ma:contentTypeScope="" ma:versionID="44484c422eca93e12ed0bf8a6c68aa17">
  <xsd:schema xmlns:xsd="http://www.w3.org/2001/XMLSchema" xmlns:xs="http://www.w3.org/2001/XMLSchema" xmlns:p="http://schemas.microsoft.com/office/2006/metadata/properties" xmlns:ns2="03289574-1131-4e34-9d5a-ca7f8d5bd0c6" xmlns:ns3="b77e24ea-b206-458a-bec0-aa405b5d93c4" targetNamespace="http://schemas.microsoft.com/office/2006/metadata/properties" ma:root="true" ma:fieldsID="82cef058eb5c43c815aaa8ebabe18018" ns2:_="" ns3:_="">
    <xsd:import namespace="03289574-1131-4e34-9d5a-ca7f8d5bd0c6"/>
    <xsd:import namespace="b77e24ea-b206-458a-bec0-aa405b5d9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4ea-b206-458a-bec0-aa405b5d93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6b93f6-3891-4efe-aa25-ce4b9dc4537a}" ma:internalName="TaxCatchAll" ma:showField="CatchAllData" ma:web="b77e24ea-b206-458a-bec0-aa405b5d9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89574-1131-4e34-9d5a-ca7f8d5bd0c6">
      <Terms xmlns="http://schemas.microsoft.com/office/infopath/2007/PartnerControls"/>
    </lcf76f155ced4ddcb4097134ff3c332f>
    <TaxCatchAll xmlns="b77e24ea-b206-458a-bec0-aa405b5d93c4" xsi:nil="true"/>
  </documentManagement>
</p:properties>
</file>

<file path=customXml/itemProps1.xml><?xml version="1.0" encoding="utf-8"?>
<ds:datastoreItem xmlns:ds="http://schemas.openxmlformats.org/officeDocument/2006/customXml" ds:itemID="{7C00BF14-F825-4BDC-8EE9-EEDF763BC349}"/>
</file>

<file path=customXml/itemProps2.xml><?xml version="1.0" encoding="utf-8"?>
<ds:datastoreItem xmlns:ds="http://schemas.openxmlformats.org/officeDocument/2006/customXml" ds:itemID="{9FA1D91A-9AAB-4183-8494-CF822D12B4D5}"/>
</file>

<file path=customXml/itemProps3.xml><?xml version="1.0" encoding="utf-8"?>
<ds:datastoreItem xmlns:ds="http://schemas.openxmlformats.org/officeDocument/2006/customXml" ds:itemID="{EDB29F0C-099C-4620-ABDA-6F0F86B4CC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Ihenacho, Destiny (HOU)</dc:creator>
  <cp:keywords/>
  <dc:description/>
  <cp:lastModifiedBy>Figueroa, Elvira (HOU)</cp:lastModifiedBy>
  <cp:revision>2</cp:revision>
  <dcterms:created xsi:type="dcterms:W3CDTF">2025-04-15T17:53:00Z</dcterms:created>
  <dcterms:modified xsi:type="dcterms:W3CDTF">2025-04-17T16:54:15Z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