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3920</w:t>
            </w:r>
          </w:p>
        </w:tc>
      </w:tr>
      <w:tr>
        <w:trPr>
          <w:cantSplit w:val="0"/>
          <w:trHeight w:val="9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to provide sustainable water resources in the town of Tyngsborough</w:t>
            </w:r>
          </w:p>
        </w:tc>
      </w:tr>
      <w:tr>
        <w:trPr>
          <w:cantSplit w:val="0"/>
          <w:trHeight w:val="69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Garry</w:t>
            </w:r>
            <w:r w:rsidDel="00000000" w:rsidR="00000000" w:rsidRPr="00000000">
              <w:rPr>
                <w:rtl w:val="0"/>
              </w:rPr>
            </w:r>
          </w:p>
        </w:tc>
      </w:tr>
      <w:tr>
        <w:trPr>
          <w:cantSplit w:val="0"/>
          <w:trHeight w:val="72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r w:rsidDel="00000000" w:rsidR="00000000" w:rsidRPr="00000000">
              <w:rPr>
                <w:rtl w:val="0"/>
              </w:rPr>
            </w:r>
          </w:p>
        </w:tc>
      </w:tr>
      <w:tr>
        <w:trPr>
          <w:cantSplit w:val="0"/>
          <w:trHeight w:val="100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 </w:t>
            </w:r>
          </w:p>
        </w:tc>
      </w:tr>
      <w:tr>
        <w:trPr>
          <w:cantSplit w:val="0"/>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0" w:before="0" w:lineRule="auto"/>
              <w:rPr>
                <w:rFonts w:ascii="Times New Roman" w:cs="Times New Roman" w:eastAsia="Times New Roman" w:hAnsi="Times New Roman"/>
                <w:b w:val="1"/>
                <w:bCs w:val="1"/>
                <w:sz w:val="24"/>
                <w:szCs w:val="24"/>
                <w:u w:val="single"/>
              </w:rPr>
            </w:pPr>
            <w:r w:rsidDel="00000000" w:rsidR="00000000" w:rsidRPr="00000000">
              <w:rPr>
                <w:rtl w:val="0"/>
              </w:rPr>
            </w:r>
          </w:p>
        </w:tc>
      </w:tr>
      <w:tr>
        <w:trPr>
          <w:cantSplit w:val="0"/>
          <w:trHeight w:val="1541.8652343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2">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SUMMARY</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authorizes the Tyngsborough Water District to withdraw up to 1,000,000 gallons of water per day from water sources on its properties.  The bill shall take effect upon its passage.</w:t>
            </w:r>
            <w:r w:rsidDel="00000000" w:rsidR="00000000" w:rsidRPr="00000000">
              <w:rPr>
                <w:rtl w:val="0"/>
              </w:rPr>
            </w:r>
          </w:p>
        </w:tc>
      </w:tr>
    </w:tbl>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