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sz w:val="28"/>
          <w:szCs w:val="28"/>
          <w:rtl w:val="0"/>
        </w:rPr>
        <w:t xml:space="preserve">Joint Committee on Environment and Natural Resources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sz w:val="28"/>
          <w:szCs w:val="28"/>
          <w:rtl w:val="0"/>
        </w:rPr>
        <w:t xml:space="preserve">Bill Summary</w:t>
      </w:r>
      <w:r w:rsidDel="00000000" w:rsidR="00000000" w:rsidRPr="00000000">
        <w:rPr>
          <w:rtl w:val="0"/>
        </w:rPr>
        <w:br w:type="textWrapping"/>
      </w:r>
      <w:r w:rsidDel="00000000" w:rsidR="00000000" w:rsidRPr="00000000">
        <w:rPr>
          <w:b w:val="1"/>
          <w:rtl w:val="0"/>
        </w:rPr>
        <w:t xml:space="preserve">__________________________________________________________________</w:t>
      </w:r>
      <w:r w:rsidDel="00000000" w:rsidR="00000000" w:rsidRPr="00000000">
        <w:rPr>
          <w:rtl w:val="0"/>
        </w:rPr>
      </w:r>
    </w:p>
    <w:tbl>
      <w:tblPr>
        <w:tblStyle w:val="Table1"/>
        <w:tblW w:w="10188.0" w:type="dxa"/>
        <w:jc w:val="left"/>
        <w:tblLayout w:type="fixed"/>
        <w:tblLook w:val="0400"/>
      </w:tblPr>
      <w:tblGrid>
        <w:gridCol w:w="2538"/>
        <w:gridCol w:w="7650"/>
        <w:tblGridChange w:id="0">
          <w:tblGrid>
            <w:gridCol w:w="2538"/>
            <w:gridCol w:w="7650"/>
          </w:tblGrid>
        </w:tblGridChange>
      </w:tblGrid>
      <w:tr>
        <w:trPr>
          <w:cantSplit w:val="0"/>
          <w:trHeight w:val="540" w:hRule="atLeast"/>
          <w:tblHeader w:val="0"/>
        </w:trPr>
        <w:tc>
          <w:tcPr/>
          <w:p w:rsidR="00000000" w:rsidDel="00000000" w:rsidP="00000000" w:rsidRDefault="00000000" w:rsidRPr="00000000" w14:paraId="00000003">
            <w:pPr>
              <w:rPr/>
            </w:pPr>
            <w:r w:rsidDel="00000000" w:rsidR="00000000" w:rsidRPr="00000000">
              <w:rPr>
                <w:b w:val="1"/>
                <w:u w:val="single"/>
                <w:rtl w:val="0"/>
              </w:rPr>
              <w:t xml:space="preserve">BILL NUMBER</w:t>
            </w:r>
            <w:r w:rsidDel="00000000" w:rsidR="00000000" w:rsidRPr="00000000">
              <w:rPr>
                <w:rtl w:val="0"/>
              </w:rPr>
            </w:r>
          </w:p>
        </w:tc>
        <w:tc>
          <w:tcPr/>
          <w:p w:rsidR="00000000" w:rsidDel="00000000" w:rsidP="00000000" w:rsidRDefault="00000000" w:rsidRPr="00000000" w14:paraId="00000004">
            <w:pPr>
              <w:spacing w:line="240" w:lineRule="auto"/>
              <w:rPr/>
            </w:pPr>
            <w:r w:rsidDel="00000000" w:rsidR="00000000" w:rsidRPr="00000000">
              <w:rPr>
                <w:rtl w:val="0"/>
              </w:rPr>
              <w:t xml:space="preserve">House, No. 3935</w:t>
            </w:r>
          </w:p>
        </w:tc>
      </w:tr>
      <w:tr>
        <w:trPr>
          <w:cantSplit w:val="0"/>
          <w:tblHeader w:val="0"/>
        </w:trPr>
        <w:tc>
          <w:tcPr/>
          <w:p w:rsidR="00000000" w:rsidDel="00000000" w:rsidP="00000000" w:rsidRDefault="00000000" w:rsidRPr="00000000" w14:paraId="00000005">
            <w:pPr>
              <w:rPr/>
            </w:pPr>
            <w:r w:rsidDel="00000000" w:rsidR="00000000" w:rsidRPr="00000000">
              <w:rPr>
                <w:b w:val="1"/>
                <w:u w:val="single"/>
                <w:rtl w:val="0"/>
              </w:rPr>
              <w:t xml:space="preserve">TITLE</w:t>
            </w:r>
            <w:r w:rsidDel="00000000" w:rsidR="00000000" w:rsidRPr="00000000">
              <w:rPr>
                <w:rtl w:val="0"/>
              </w:rPr>
            </w:r>
          </w:p>
        </w:tc>
        <w:tc>
          <w:tcPr/>
          <w:p w:rsidR="00000000" w:rsidDel="00000000" w:rsidP="00000000" w:rsidRDefault="00000000" w:rsidRPr="00000000" w14:paraId="00000006">
            <w:pPr>
              <w:spacing w:after="240" w:lineRule="auto"/>
              <w:rPr/>
            </w:pPr>
            <w:r w:rsidDel="00000000" w:rsidR="00000000" w:rsidRPr="00000000">
              <w:rPr>
                <w:rtl w:val="0"/>
              </w:rPr>
              <w:t xml:space="preserve">An Act relative to ivory and rhinoceros horn trafficking </w:t>
            </w:r>
          </w:p>
        </w:tc>
      </w:tr>
      <w:tr>
        <w:trPr>
          <w:cantSplit w:val="0"/>
          <w:tblHeader w:val="0"/>
        </w:trPr>
        <w:tc>
          <w:tcPr/>
          <w:p w:rsidR="00000000" w:rsidDel="00000000" w:rsidP="00000000" w:rsidRDefault="00000000" w:rsidRPr="00000000" w14:paraId="00000007">
            <w:pPr>
              <w:spacing w:after="240" w:lineRule="auto"/>
              <w:rPr>
                <w:b w:val="1"/>
                <w:u w:val="single"/>
              </w:rPr>
            </w:pPr>
            <w:r w:rsidDel="00000000" w:rsidR="00000000" w:rsidRPr="00000000">
              <w:rPr>
                <w:b w:val="1"/>
                <w:u w:val="single"/>
                <w:rtl w:val="0"/>
              </w:rPr>
              <w:t xml:space="preserve">SPONSORS</w:t>
            </w:r>
          </w:p>
          <w:p w:rsidR="00000000" w:rsidDel="00000000" w:rsidP="00000000" w:rsidRDefault="00000000" w:rsidRPr="00000000" w14:paraId="00000008">
            <w:pPr>
              <w:spacing w:after="240" w:lineRule="auto"/>
              <w:rPr>
                <w:b w:val="1"/>
                <w:u w:val="single"/>
              </w:rPr>
            </w:pPr>
            <w:r w:rsidDel="00000000" w:rsidR="00000000" w:rsidRPr="00000000">
              <w:rPr>
                <w:b w:val="1"/>
                <w:u w:val="single"/>
                <w:rtl w:val="0"/>
              </w:rPr>
              <w:t xml:space="preserve">SIMILAR MATTERS</w:t>
            </w:r>
          </w:p>
        </w:tc>
        <w:tc>
          <w:tcPr/>
          <w:p w:rsidR="00000000" w:rsidDel="00000000" w:rsidP="00000000" w:rsidRDefault="00000000" w:rsidRPr="00000000" w14:paraId="00000009">
            <w:pPr>
              <w:spacing w:after="240" w:lineRule="auto"/>
              <w:rPr/>
            </w:pPr>
            <w:r w:rsidDel="00000000" w:rsidR="00000000" w:rsidRPr="00000000">
              <w:rPr>
                <w:rtl w:val="0"/>
              </w:rPr>
              <w:t xml:space="preserve">Representative Livingstone</w:t>
            </w:r>
          </w:p>
          <w:p w:rsidR="00000000" w:rsidDel="00000000" w:rsidP="00000000" w:rsidRDefault="00000000" w:rsidRPr="00000000" w14:paraId="0000000A">
            <w:pPr>
              <w:spacing w:after="240" w:lineRule="auto"/>
              <w:rPr/>
            </w:pPr>
            <w:r w:rsidDel="00000000" w:rsidR="00000000" w:rsidRPr="00000000">
              <w:rPr>
                <w:rtl w:val="0"/>
              </w:rPr>
              <w:t xml:space="preserve">S.616 by Senator Lewis</w:t>
            </w:r>
          </w:p>
        </w:tc>
      </w:tr>
      <w:tr>
        <w:trPr>
          <w:cantSplit w:val="0"/>
          <w:tblHeader w:val="0"/>
        </w:trPr>
        <w:tc>
          <w:tcPr>
            <w:gridSpan w:val="2"/>
          </w:tcPr>
          <w:p w:rsidR="00000000" w:rsidDel="00000000" w:rsidP="00000000" w:rsidRDefault="00000000" w:rsidRPr="00000000" w14:paraId="0000000B">
            <w:pPr>
              <w:spacing w:after="240" w:lineRule="auto"/>
              <w:rPr>
                <w:b w:val="1"/>
                <w:u w:val="single"/>
              </w:rPr>
            </w:pPr>
            <w:r w:rsidDel="00000000" w:rsidR="00000000" w:rsidRPr="00000000">
              <w:rPr>
                <w:b w:val="1"/>
                <w:u w:val="single"/>
                <w:rtl w:val="0"/>
              </w:rPr>
              <w:t xml:space="preserve">PRIOR HISTORY</w:t>
            </w:r>
          </w:p>
          <w:p w:rsidR="00000000" w:rsidDel="00000000" w:rsidP="00000000" w:rsidRDefault="00000000" w:rsidRPr="00000000" w14:paraId="0000000C">
            <w:pPr>
              <w:spacing w:after="0" w:line="240" w:lineRule="auto"/>
              <w:rPr/>
            </w:pPr>
            <w:r w:rsidDel="00000000" w:rsidR="00000000" w:rsidRPr="00000000">
              <w:rPr>
                <w:rtl w:val="0"/>
              </w:rPr>
              <w:t xml:space="preserve">2021-2022: Filed as S576/H903; Reported favorably by ENRA; Referred to SWM where no further action was taken</w:t>
            </w:r>
          </w:p>
          <w:p w:rsidR="00000000" w:rsidDel="00000000" w:rsidP="00000000" w:rsidRDefault="00000000" w:rsidRPr="00000000" w14:paraId="0000000D">
            <w:pPr>
              <w:spacing w:after="0" w:line="240" w:lineRule="auto"/>
              <w:rPr/>
            </w:pPr>
            <w:r w:rsidDel="00000000" w:rsidR="00000000" w:rsidRPr="00000000">
              <w:rPr>
                <w:rtl w:val="0"/>
              </w:rPr>
              <w:t xml:space="preserve">2023-2024: No House file; S519 reported favorably by ENR; Referred to SWM where no further action was taken</w:t>
            </w:r>
          </w:p>
          <w:p w:rsidR="00000000" w:rsidDel="00000000" w:rsidP="00000000" w:rsidRDefault="00000000" w:rsidRPr="00000000" w14:paraId="0000000E">
            <w:pPr>
              <w:spacing w:after="0" w:line="240" w:lineRule="auto"/>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0">
            <w:pPr>
              <w:keepNext w:val="1"/>
              <w:keepLines w:val="1"/>
              <w:spacing w:after="240" w:lineRule="auto"/>
              <w:rPr/>
            </w:pPr>
            <w:r w:rsidDel="00000000" w:rsidR="00000000" w:rsidRPr="00000000">
              <w:rPr>
                <w:b w:val="1"/>
                <w:u w:val="single"/>
                <w:rtl w:val="0"/>
              </w:rPr>
              <w:t xml:space="preserve">SUMMARY</w:t>
            </w: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t xml:space="preserve">This bill establishes a new chapter in Massachusetts General Law, Chapter 131C, formalizing strict regulations on the sale and possession of ivory and rhinoceros horn in the Commonwealth.  It defines ivory as any tooth or tusk, or part thereof, from elephants, mammoths, or mastodons, and rhinoceros horn as any piece or derivative of a rhinoceros horn. A sale includes any commercial transaction involving these items, but excludes nonmonetary transfers such as gifts or inheritances.  The law applies if the buyer takes possession in Massachusetts or if the seller is located within the state.</w:t>
            </w:r>
          </w:p>
          <w:p w:rsidR="00000000" w:rsidDel="00000000" w:rsidP="00000000" w:rsidRDefault="00000000" w:rsidRPr="00000000" w14:paraId="00000012">
            <w:pPr>
              <w:spacing w:line="240" w:lineRule="auto"/>
              <w:rPr/>
            </w:pPr>
            <w:r w:rsidDel="00000000" w:rsidR="00000000" w:rsidRPr="00000000">
              <w:rPr>
                <w:rtl w:val="0"/>
              </w:rPr>
              <w:t xml:space="preserve">The sale, offer for sale, purchase, or possession with intent to sell ivory or rhinoceros horn is generally prohibited.  Possession of these items in retail or wholesale outlets is considered prima facie evidence of intent to sell.  Specific exemptions include government-authorized law enforcement activities, federally permitted actions, and items such as musical instruments or antiques that contain less than 200 grams of ivory or horn and meet strict documentation requirements.  Other exemptions apply to items with minimal ivory content imported under specific legal circumstances before 2016, as well as sales or transfers to legitimate educational or scientific institutions, provided they meet acquisition and use conditions.</w:t>
            </w:r>
          </w:p>
          <w:p w:rsidR="00000000" w:rsidDel="00000000" w:rsidP="00000000" w:rsidRDefault="00000000" w:rsidRPr="00000000" w14:paraId="00000013">
            <w:pPr>
              <w:spacing w:line="240" w:lineRule="auto"/>
              <w:rPr/>
            </w:pPr>
            <w:r w:rsidDel="00000000" w:rsidR="00000000" w:rsidRPr="00000000">
              <w:rPr>
                <w:rtl w:val="0"/>
              </w:rPr>
              <w:t xml:space="preserve">Violations of the law carry escalating penalties.  A first offense may result in fines up to $4,000 or twice the value of the items, and/or up to six months in jail.  Second offenses incur higher fines and longer jail time, while third offenses or those involving items valued at $25,000 or more result in a minimum $40,000 fine and up to two and a half years of imprisonment.  Upon conviction, all ivory and rhinoceros horn involved must be seized and either destroyed or donated to educational or scientific institutions.</w:t>
            </w:r>
          </w:p>
          <w:p w:rsidR="00000000" w:rsidDel="00000000" w:rsidP="00000000" w:rsidRDefault="00000000" w:rsidRPr="00000000" w14:paraId="00000014">
            <w:pPr>
              <w:spacing w:line="240" w:lineRule="auto"/>
              <w:rPr/>
            </w:pPr>
            <w:r w:rsidDel="00000000" w:rsidR="00000000" w:rsidRPr="00000000">
              <w:rPr>
                <w:rtl w:val="0"/>
              </w:rPr>
              <w:t xml:space="preserve">To support enforcement, the law establishes the Elephant Ivory and Rhinoceros Horn Trafficking Enforcement Fund.  This fund is administered by the director of law enforcement and may be used to enhance enforcement efforts, including paying rewards for tips that lead to convictions.  It is funded through fines, legislative appropriations, and private contributions.  The fund is not subject to indirect costs, and an annual report detailing revenues, expenditures, and balances is required by October 1 each year.</w:t>
            </w:r>
          </w:p>
          <w:p w:rsidR="00000000" w:rsidDel="00000000" w:rsidP="00000000" w:rsidRDefault="00000000" w:rsidRPr="00000000" w14:paraId="00000015">
            <w:pPr>
              <w:spacing w:line="240" w:lineRule="auto"/>
              <w:rPr/>
            </w:pPr>
            <w:r w:rsidDel="00000000" w:rsidR="00000000" w:rsidRPr="00000000">
              <w:rPr>
                <w:rtl w:val="0"/>
              </w:rPr>
              <w:t xml:space="preserve">The act will take effect one year from its date of passage.</w:t>
            </w:r>
          </w:p>
        </w:tc>
      </w:tr>
    </w:tbl>
    <w:p w:rsidR="00000000" w:rsidDel="00000000" w:rsidP="00000000" w:rsidRDefault="00000000" w:rsidRPr="00000000" w14:paraId="00000017">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2507E7"/>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507E7"/>
    <w:rPr>
      <w:rFonts w:ascii="Tahoma" w:cs="Tahoma" w:hAnsi="Tahoma"/>
      <w:sz w:val="16"/>
      <w:szCs w:val="16"/>
      <w:lang w:eastAsia="en-US" w:val="en-US"/>
    </w:rPr>
  </w:style>
  <w:style w:type="character" w:styleId="CommentReference">
    <w:name w:val="annotation reference"/>
    <w:basedOn w:val="DefaultParagraphFont"/>
    <w:uiPriority w:val="99"/>
    <w:semiHidden w:val="1"/>
    <w:unhideWhenUsed w:val="1"/>
    <w:rsid w:val="002F70E8"/>
    <w:rPr>
      <w:sz w:val="16"/>
      <w:szCs w:val="16"/>
    </w:rPr>
  </w:style>
  <w:style w:type="paragraph" w:styleId="CommentText">
    <w:name w:val="annotation text"/>
    <w:basedOn w:val="Normal"/>
    <w:link w:val="CommentTextChar"/>
    <w:uiPriority w:val="99"/>
    <w:semiHidden w:val="1"/>
    <w:unhideWhenUsed w:val="1"/>
    <w:rsid w:val="002F70E8"/>
    <w:rPr>
      <w:sz w:val="20"/>
      <w:szCs w:val="20"/>
    </w:rPr>
  </w:style>
  <w:style w:type="character" w:styleId="CommentTextChar" w:customStyle="1">
    <w:name w:val="Comment Text Char"/>
    <w:basedOn w:val="DefaultParagraphFont"/>
    <w:link w:val="CommentText"/>
    <w:uiPriority w:val="99"/>
    <w:semiHidden w:val="1"/>
    <w:rsid w:val="002F70E8"/>
    <w:rPr>
      <w:lang w:eastAsia="en-US" w:val="en-US"/>
    </w:rPr>
  </w:style>
  <w:style w:type="paragraph" w:styleId="CommentSubject">
    <w:name w:val="annotation subject"/>
    <w:basedOn w:val="CommentText"/>
    <w:next w:val="CommentText"/>
    <w:link w:val="CommentSubjectChar"/>
    <w:uiPriority w:val="99"/>
    <w:semiHidden w:val="1"/>
    <w:unhideWhenUsed w:val="1"/>
    <w:rsid w:val="002F70E8"/>
    <w:rPr>
      <w:b w:val="1"/>
      <w:bCs w:val="1"/>
    </w:rPr>
  </w:style>
  <w:style w:type="character" w:styleId="CommentSubjectChar" w:customStyle="1">
    <w:name w:val="Comment Subject Char"/>
    <w:basedOn w:val="CommentTextChar"/>
    <w:link w:val="CommentSubject"/>
    <w:uiPriority w:val="99"/>
    <w:semiHidden w:val="1"/>
    <w:rsid w:val="002F70E8"/>
    <w:rPr>
      <w:b w:val="1"/>
      <w:bCs w:val="1"/>
      <w:lang w:eastAsia="en-US" w:val="en-US"/>
    </w:rPr>
  </w:style>
  <w:style w:type="character" w:styleId="Hyperlink">
    <w:name w:val="Hyperlink"/>
    <w:basedOn w:val="DefaultParagraphFont"/>
    <w:uiPriority w:val="99"/>
    <w:unhideWhenUsed w:val="1"/>
    <w:rsid w:val="00562743"/>
    <w:rPr>
      <w:color w:val="0000ff" w:themeColor="hyperlink"/>
      <w:u w:val="single"/>
    </w:rPr>
  </w:style>
  <w:style w:type="character" w:styleId="LineNumber">
    <w:name w:val="line number"/>
    <w:basedOn w:val="DefaultParagraphFont"/>
    <w:uiPriority w:val="99"/>
    <w:semiHidden w:val="1"/>
    <w:unhideWhenUsed w:val="1"/>
    <w:rsid w:val="00260C9A"/>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K90fqwtjgv62Kl80zYW6ivUBg==">CgMxLjA4AHIhMUZTMHNFU0lTUVlrTVQ3cndHZEJ2V2xiYXVpejdIOTBv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2025-03-19T13:31:00Z</dcterms:created>
  <dc:creator>MA Legislature, LAWS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0x01010028BF971DFD34904ABD440200B318A808</vt:lpwstr>
  </property>
</Properties>
</file>