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3945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to promote urban agriculture in environmental justice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communities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Garcia</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 of this bill amends Subsection (d) of Section 29A (The Brownfields Redevelopment Fund) of Chapter 23G (The Massachusetts Development Finance Agency) of MGL by striking out clause (12) and replacing it with new language. This new clause (12) states that preference will be given to projects located within an environmental justice municipality or within 1 mile of an environmental justice municipality. The previous definition stated that preference for funding projects would be given to projects near </w:t>
            </w:r>
            <w:r w:rsidDel="00000000" w:rsidR="00000000" w:rsidRPr="00000000">
              <w:rPr>
                <w:rFonts w:ascii="Times New Roman" w:cs="Times New Roman" w:eastAsia="Times New Roman" w:hAnsi="Times New Roman"/>
                <w:sz w:val="24"/>
                <w:szCs w:val="24"/>
                <w:rtl w:val="0"/>
              </w:rPr>
              <w:t xml:space="preserve">environmental justice populations. </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of this bill amends Section 62 of</w:t>
            </w:r>
            <w:r w:rsidDel="00000000" w:rsidR="00000000" w:rsidRPr="00000000">
              <w:rPr>
                <w:rFonts w:ascii="Times New Roman" w:cs="Times New Roman" w:eastAsia="Times New Roman" w:hAnsi="Times New Roman"/>
                <w:sz w:val="24"/>
                <w:szCs w:val="24"/>
                <w:rtl w:val="0"/>
              </w:rPr>
              <w:t xml:space="preserve"> Chapter 30 (General Provisions Relative to State Departments, Commissions, Officers, and Employees) of MGL by inserting after the definition of “Environmental burdens” a definition for “Environmental justice municipality”. This new definition states that a municipality can qualify as an environmental justice municipality, if one or more of the below qualifications are met: </w:t>
            </w:r>
          </w:p>
          <w:p w:rsidR="00000000" w:rsidDel="00000000" w:rsidP="00000000" w:rsidRDefault="00000000" w:rsidRPr="00000000" w14:paraId="00000013">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Median household income ≤ 65% of statewide median</w:t>
            </w:r>
          </w:p>
          <w:p w:rsidR="00000000" w:rsidDel="00000000" w:rsidP="00000000" w:rsidRDefault="00000000" w:rsidRPr="00000000" w14:paraId="00000014">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Minorities are ≥ 40% of the population</w:t>
            </w:r>
          </w:p>
          <w:p w:rsidR="00000000" w:rsidDel="00000000" w:rsidP="00000000" w:rsidRDefault="00000000" w:rsidRPr="00000000" w14:paraId="00000015">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25% of households lack English proficiency</w:t>
            </w:r>
          </w:p>
          <w:p w:rsidR="00000000" w:rsidDel="00000000" w:rsidP="00000000" w:rsidRDefault="00000000" w:rsidRPr="00000000" w14:paraId="00000016">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Minorities ≥ 25% of population and municipal annual median household income ≤ 150% of statewide annual median household income</w:t>
              <w:br w:type="textWrapping"/>
            </w:r>
          </w:p>
          <w:p w:rsidR="00000000" w:rsidDel="00000000" w:rsidP="00000000" w:rsidRDefault="00000000" w:rsidRPr="00000000" w14:paraId="00000017">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 municipality can be excluded from this designation if the following is found to be true:</w:t>
            </w:r>
          </w:p>
          <w:p w:rsidR="00000000" w:rsidDel="00000000" w:rsidP="00000000" w:rsidRDefault="00000000" w:rsidRPr="00000000" w14:paraId="00000018">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Municipal annual median household income &gt; 125% of statewide annual median household income</w:t>
            </w:r>
          </w:p>
          <w:p w:rsidR="00000000" w:rsidDel="00000000" w:rsidP="00000000" w:rsidRDefault="00000000" w:rsidRPr="00000000" w14:paraId="00000019">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Majority of residents age 25+ have a college degree</w:t>
            </w:r>
          </w:p>
          <w:p w:rsidR="00000000" w:rsidDel="00000000" w:rsidP="00000000" w:rsidRDefault="00000000" w:rsidRPr="00000000" w14:paraId="0000001A">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does not bear an unfair environmental pollution burden</w:t>
            </w:r>
          </w:p>
          <w:p w:rsidR="00000000" w:rsidDel="00000000" w:rsidP="00000000" w:rsidRDefault="00000000" w:rsidRPr="00000000" w14:paraId="0000001B">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more than limited access to natural resources (ie. open spaces, water resources, playgrounds, etc)</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