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20"/>
        <w:gridCol w:w="6825"/>
        <w:tblGridChange w:id="0">
          <w:tblGrid>
            <w:gridCol w:w="2520"/>
            <w:gridCol w:w="682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4040</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pStyle w:val="Heading2"/>
              <w:keepNext w:val="0"/>
              <w:keepLines w:val="0"/>
              <w:shd w:fill="ffffff" w:val="clear"/>
              <w:spacing w:after="160" w:before="300" w:line="264" w:lineRule="auto"/>
              <w:rPr>
                <w:rFonts w:ascii="Times New Roman" w:cs="Times New Roman" w:eastAsia="Times New Roman" w:hAnsi="Times New Roman"/>
                <w:sz w:val="24"/>
                <w:szCs w:val="24"/>
              </w:rPr>
            </w:pPr>
            <w:bookmarkStart w:colFirst="0" w:colLast="0" w:name="_h4e7iht91zgg" w:id="0"/>
            <w:bookmarkEnd w:id="0"/>
            <w:r w:rsidDel="00000000" w:rsidR="00000000" w:rsidRPr="00000000">
              <w:rPr>
                <w:rFonts w:ascii="Times New Roman" w:cs="Times New Roman" w:eastAsia="Times New Roman" w:hAnsi="Times New Roman"/>
                <w:sz w:val="24"/>
                <w:szCs w:val="24"/>
                <w:rtl w:val="0"/>
              </w:rPr>
              <w:t xml:space="preserve">An Act preventing the discharge of radioactive materials </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Representatives Badger and Luddy</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w:t>
            </w:r>
          </w:p>
        </w:tc>
      </w:tr>
      <w:tr>
        <w:trPr>
          <w:cantSplit w:val="0"/>
          <w:trHeight w:val="3167.402343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E">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0F">
            <w:pPr>
              <w:spacing w:after="240" w:befor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requires DEP, in consultation with DPH, to form a study and report on the environmental and economic impacts of discharging spent fuel pool water from decommissioned nuclear power plants, including methods that increase evaporation of radioactive materials like tritium and boron. The study will assess potential effects on industries such as fishing, aquaculture, tourism, and restaurants, monitor pollution levels, and recommend ways to mitigate harm. The bill also mandates a prohibition of discharges into Massachusetts waters until 90 days after the report is issued. The final report, including recommendations and potential legislation, is due by December 31, 2026.</w:t>
            </w:r>
          </w:p>
          <w:p w:rsidR="00000000" w:rsidDel="00000000" w:rsidP="00000000" w:rsidRDefault="00000000" w:rsidRPr="00000000" w14:paraId="00000010">
            <w:pPr>
              <w:spacing w:after="240" w:before="240" w:lineRule="auto"/>
              <w:ind w:left="0" w:firstLine="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