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900"/>
        <w:tblGridChange w:id="0">
          <w:tblGrid>
            <w:gridCol w:w="244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4041</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Act promoting environmental justice in Massachusetts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Connolly</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New file, no previous history </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tl w:val="0"/>
              </w:rPr>
            </w:r>
          </w:p>
          <w:p w:rsidR="00000000" w:rsidDel="00000000" w:rsidP="00000000" w:rsidRDefault="00000000" w:rsidRPr="00000000" w14:paraId="00000010">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MGL by adding a new chapter, Chapter 21P (Green Zones). Within the Executive Office of Energy and Environmental Affairs (EEA), under the purview of the Undersecretary of Environmental Justice, the Office of Green Zone Administration will be established.  </w:t>
            </w:r>
          </w:p>
          <w:p w:rsidR="00000000" w:rsidDel="00000000" w:rsidP="00000000" w:rsidRDefault="00000000" w:rsidRPr="00000000" w14:paraId="00000011">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office will oversee </w:t>
            </w:r>
            <w:r w:rsidDel="00000000" w:rsidR="00000000" w:rsidRPr="00000000">
              <w:rPr>
                <w:rFonts w:ascii="Times New Roman" w:cs="Times New Roman" w:eastAsia="Times New Roman" w:hAnsi="Times New Roman"/>
                <w:sz w:val="24"/>
                <w:szCs w:val="24"/>
                <w:rtl w:val="0"/>
              </w:rPr>
              <w:t xml:space="preserve">the development and implementation of a scoring system designed to rank environmental damage, energy burdens, and past harm in communities across the commonwealth. Based on this system, the office will designate green zones across the Commonwealth and administer the Green Zone Investment Fund. Additionally, in communities designated as green zones, the office will oversee the implementation of clean energy and energy efficiency programs.</w:t>
            </w:r>
          </w:p>
          <w:p w:rsidR="00000000" w:rsidDel="00000000" w:rsidP="00000000" w:rsidRDefault="00000000" w:rsidRPr="00000000" w14:paraId="00000013">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conjunction with the Department of Energy Resources, the office will develop a </w:t>
            </w:r>
            <w:r w:rsidDel="00000000" w:rsidR="00000000" w:rsidRPr="00000000">
              <w:rPr>
                <w:rFonts w:ascii="Times New Roman" w:cs="Times New Roman" w:eastAsia="Times New Roman" w:hAnsi="Times New Roman"/>
                <w:sz w:val="24"/>
                <w:szCs w:val="24"/>
                <w:rtl w:val="0"/>
              </w:rPr>
              <w:t xml:space="preserve">scoring system that incorporates public health outcomes, energy burden data, and census information to identify and score environmental justice populations. The system will be periodically reviewed and updated to ensure investments continue to target overburdened communities effectively.</w:t>
            </w:r>
          </w:p>
          <w:p w:rsidR="00000000" w:rsidDel="00000000" w:rsidP="00000000" w:rsidRDefault="00000000" w:rsidRPr="00000000" w14:paraId="00000015">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this bill establishes the </w:t>
            </w:r>
            <w:r w:rsidDel="00000000" w:rsidR="00000000" w:rsidRPr="00000000">
              <w:rPr>
                <w:rFonts w:ascii="Times New Roman" w:cs="Times New Roman" w:eastAsia="Times New Roman" w:hAnsi="Times New Roman"/>
                <w:sz w:val="24"/>
                <w:szCs w:val="24"/>
                <w:rtl w:val="0"/>
              </w:rPr>
              <w:t xml:space="preserve">Green Zone Investment Fund. The fund shall be credited with: </w:t>
            </w:r>
          </w:p>
          <w:p w:rsidR="00000000" w:rsidDel="00000000" w:rsidP="00000000" w:rsidRDefault="00000000" w:rsidRPr="00000000" w14:paraId="00000017">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Revenue from appropriations and other money authorized by the General Court and specifically designated to be credited to the fund</w:t>
            </w:r>
          </w:p>
          <w:p w:rsidR="00000000" w:rsidDel="00000000" w:rsidP="00000000" w:rsidRDefault="00000000" w:rsidRPr="00000000" w14:paraId="00000018">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Funds from public and private sources such as gifts, grants and donations</w:t>
            </w:r>
          </w:p>
          <w:p w:rsidR="00000000" w:rsidDel="00000000" w:rsidP="00000000" w:rsidRDefault="00000000" w:rsidRPr="00000000" w14:paraId="00000019">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 earned on money in the fund</w:t>
            </w:r>
          </w:p>
          <w:p w:rsidR="00000000" w:rsidDel="00000000" w:rsidP="00000000" w:rsidRDefault="00000000" w:rsidRPr="00000000" w14:paraId="0000001A">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Office of Green Zone Administration will work with the Massachusetts Community Climate Bank to administer funds to eligible recipients. Additionally, the Green Zone Investment Fund will provide financing, grants, rebates, and low-interest loans.</w:t>
            </w:r>
          </w:p>
          <w:p w:rsidR="00000000" w:rsidDel="00000000" w:rsidP="00000000" w:rsidRDefault="00000000" w:rsidRPr="00000000" w14:paraId="0000001C">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office will direct state agencies to develop or expand programs that provide onsite or community solar and energy efficiency for at least 250,000 low-income households, or 35% of all low-income households, by 2030. This provision aims to reduce these households’ energy burden to at or below the statewide average energy burden. Furthermore, the office will oversee the development of at least 400 megawatts of energy storage by 2030, prioritizing public facilities, community energy resiliency hubs, and low-income households to improve reliability and resilience in overburdened communities.</w:t>
            </w:r>
          </w:p>
          <w:p w:rsidR="00000000" w:rsidDel="00000000" w:rsidP="00000000" w:rsidRDefault="00000000" w:rsidRPr="00000000" w14:paraId="0000001E">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office will work alongside the Department of Energy Resources, Executive Office of Labor and Workforce Development, and the Office of Environmental Justice and Equity to implement workforce development training into all clean energy and energy storage programs created within this act. This training will prioritize recruitment from environmental justice populations and will prepare participants for careers in the clean energy sector.</w:t>
            </w:r>
          </w:p>
          <w:p w:rsidR="00000000" w:rsidDel="00000000" w:rsidP="00000000" w:rsidRDefault="00000000" w:rsidRPr="00000000" w14:paraId="00000020">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office will administer outreach and recruitment campaign grants to community based organizations to boost participation of residents from overburdened communities in clean energy and efficiency programs. Preference will be given to hiring local residents to lead grassroots outreach, education, and recruitment efforts.</w:t>
            </w:r>
          </w:p>
          <w:p w:rsidR="00000000" w:rsidDel="00000000" w:rsidP="00000000" w:rsidRDefault="00000000" w:rsidRPr="00000000" w14:paraId="00000022">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Undersecretary will appoint a community liaison to connect with the office and environmental justice populations to ensure community feedback is received. An advisory board will be created to conduct reviews of all clean energy and energy storage programs. Additionally, this board will issue an annual recommendation report to the Secretary of Energy and Environmental Affairs and the General Court. Advisory board members will be made up of members from various green zone communities. </w:t>
            </w:r>
          </w:p>
          <w:p w:rsidR="00000000" w:rsidDel="00000000" w:rsidP="00000000" w:rsidRDefault="00000000" w:rsidRPr="00000000" w14:paraId="00000024">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Secretary will ensure that at least 10% of the statewide budget for energy efficiency and renewable energy programs is spent in green zone communities. Any programs, incentives, or funding targeted to these communities must be structured to address the unique challenges faced by low-income and environmental justice populations through simplified applications, technical support, and culturally competent outreach.</w:t>
            </w:r>
          </w:p>
          <w:p w:rsidR="00000000" w:rsidDel="00000000" w:rsidP="00000000" w:rsidRDefault="00000000" w:rsidRPr="00000000" w14:paraId="00000026">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Secretary will establish regulations to implement this chapter, including criteria for Green Zone Investment Fund eligibility, program monitoring and evaluation, and timelines for clean energy, efficiency, and storage targets. </w:t>
            </w:r>
          </w:p>
          <w:p w:rsidR="00000000" w:rsidDel="00000000" w:rsidP="00000000" w:rsidRDefault="00000000" w:rsidRPr="00000000" w14:paraId="00000028">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Office of Green Zone Administration in conjunction with</w:t>
            </w:r>
            <w:r w:rsidDel="00000000" w:rsidR="00000000" w:rsidRPr="00000000">
              <w:rPr>
                <w:rFonts w:ascii="Times New Roman" w:cs="Times New Roman" w:eastAsia="Times New Roman" w:hAnsi="Times New Roman"/>
                <w:sz w:val="24"/>
                <w:szCs w:val="24"/>
                <w:rtl w:val="0"/>
              </w:rPr>
              <w:t xml:space="preserve"> the</w:t>
            </w:r>
            <w:r w:rsidDel="00000000" w:rsidR="00000000" w:rsidRPr="00000000">
              <w:rPr>
                <w:rFonts w:ascii="Times New Roman" w:cs="Times New Roman" w:eastAsia="Times New Roman" w:hAnsi="Times New Roman"/>
                <w:sz w:val="24"/>
                <w:szCs w:val="24"/>
                <w:rtl w:val="0"/>
              </w:rPr>
              <w:t xml:space="preserve"> advisory board, must submit an annual report to the Governor, the Joint Committee on Telecommunications, Utilities, and Energy, the Joint Committee on Environment and Natural Resources, and to the House and Senate Committees on Ways and Means. This report will detail accounting from the Green Zone Investment Fund as well as all projects funded, evaluations from the scoring system, and recommendations for legislative or regulatory improvements.</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 will take effect 90 days after this bill’s enactment. The Secretary of Energy and Environmental Affairs can extend this deadline by no more than 90 additional days. In order to do so, a written notice must be sent to the Clerks of the House and Senate explaining the need for the extension. </w:t>
            </w:r>
            <w:r w:rsidDel="00000000" w:rsidR="00000000" w:rsidRPr="00000000">
              <w:rPr>
                <w:rtl w:val="0"/>
              </w:rPr>
            </w:r>
          </w:p>
        </w:tc>
      </w:tr>
    </w:tbl>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