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14D" w:rsidRDefault="00F05C39"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F7014D" w:rsidRDefault="00F05C39"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F7014D" w:rsidRDefault="00F05C39"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H.4097</w:t>
      </w:r>
    </w:p>
    <w:p w:rsidR="00F7014D" w:rsidRDefault="00F7014D" w14:paraId="00000004" w14:textId="77777777">
      <w:pPr>
        <w:keepLines/>
        <w:shd w:val="clear" w:color="auto" w:fill="FFFFFF"/>
        <w:spacing w:line="240" w:lineRule="auto"/>
        <w:rPr>
          <w:rFonts w:ascii="Times New Roman" w:hAnsi="Times New Roman" w:eastAsia="Times New Roman" w:cs="Times New Roman"/>
          <w:b/>
          <w:sz w:val="24"/>
          <w:szCs w:val="24"/>
        </w:rPr>
      </w:pPr>
    </w:p>
    <w:p w:rsidR="00F7014D" w:rsidRDefault="00F05C39"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amending the special act charter of the city of Northampton to allow resident noncitizens to vote in preliminary and city elections </w:t>
      </w:r>
    </w:p>
    <w:p w:rsidR="00F7014D" w:rsidRDefault="00F7014D" w14:paraId="00000006" w14:textId="77777777">
      <w:pPr>
        <w:keepLines/>
        <w:shd w:val="clear" w:color="auto" w:fill="FFFFFF"/>
        <w:spacing w:line="240" w:lineRule="auto"/>
        <w:rPr>
          <w:rFonts w:ascii="Times New Roman" w:hAnsi="Times New Roman" w:eastAsia="Times New Roman" w:cs="Times New Roman"/>
          <w:sz w:val="24"/>
          <w:szCs w:val="24"/>
        </w:rPr>
      </w:pPr>
    </w:p>
    <w:p w:rsidR="00F7014D" w:rsidP="5FC95D3D" w:rsidRDefault="00F05C39" w14:paraId="00000007"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5FC95D3D" w:rsidR="00F05C39">
        <w:rPr>
          <w:rFonts w:ascii="Times New Roman" w:hAnsi="Times New Roman" w:eastAsia="Times New Roman" w:cs="Times New Roman"/>
          <w:b w:val="1"/>
          <w:bCs w:val="1"/>
          <w:sz w:val="24"/>
          <w:szCs w:val="24"/>
          <w:lang w:val="en-US"/>
        </w:rPr>
        <w:t>Sponsor(s):</w:t>
      </w:r>
      <w:r w:rsidRPr="5FC95D3D" w:rsidR="00F05C39">
        <w:rPr>
          <w:rFonts w:ascii="Times New Roman" w:hAnsi="Times New Roman" w:eastAsia="Times New Roman" w:cs="Times New Roman"/>
          <w:lang w:val="en-US"/>
        </w:rPr>
        <w:t xml:space="preserve"> </w:t>
      </w:r>
      <w:r w:rsidRPr="5FC95D3D" w:rsidR="00F05C39">
        <w:rPr>
          <w:rFonts w:ascii="Times New Roman" w:hAnsi="Times New Roman" w:eastAsia="Times New Roman" w:cs="Times New Roman"/>
          <w:sz w:val="24"/>
          <w:szCs w:val="24"/>
          <w:lang w:val="en-US"/>
        </w:rPr>
        <w:t xml:space="preserve">Rep. Lindsay N. </w:t>
      </w:r>
      <w:r w:rsidRPr="5FC95D3D" w:rsidR="00F05C39">
        <w:rPr>
          <w:rFonts w:ascii="Times New Roman" w:hAnsi="Times New Roman" w:eastAsia="Times New Roman" w:cs="Times New Roman"/>
          <w:sz w:val="24"/>
          <w:szCs w:val="24"/>
          <w:lang w:val="en-US"/>
        </w:rPr>
        <w:t>Sabadosa</w:t>
      </w:r>
      <w:r w:rsidRPr="5FC95D3D" w:rsidR="00F05C39">
        <w:rPr>
          <w:rFonts w:ascii="Times New Roman" w:hAnsi="Times New Roman" w:eastAsia="Times New Roman" w:cs="Times New Roman"/>
          <w:sz w:val="24"/>
          <w:szCs w:val="24"/>
          <w:lang w:val="en-US"/>
        </w:rPr>
        <w:t xml:space="preserve"> </w:t>
      </w:r>
    </w:p>
    <w:p w:rsidR="00F7014D" w:rsidRDefault="00F7014D" w14:paraId="00000008" w14:textId="77777777">
      <w:pPr>
        <w:keepLines/>
        <w:shd w:val="clear" w:color="auto" w:fill="FFFFFF"/>
        <w:spacing w:line="240" w:lineRule="auto"/>
        <w:rPr>
          <w:rFonts w:ascii="Times New Roman" w:hAnsi="Times New Roman" w:eastAsia="Times New Roman" w:cs="Times New Roman"/>
          <w:sz w:val="24"/>
          <w:szCs w:val="24"/>
        </w:rPr>
      </w:pPr>
    </w:p>
    <w:p w:rsidR="00F7014D" w:rsidRDefault="00F05C39"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F7014D" w:rsidRDefault="00F05C3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7014D" w:rsidRDefault="00F05C39"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F7014D" w:rsidRDefault="00F05C39"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7014D" w:rsidP="5FC95D3D" w:rsidRDefault="00F05C39" w14:paraId="0000000D" w14:textId="25A1B2AA">
      <w:pPr>
        <w:keepLines w:val="1"/>
        <w:shd w:val="clear" w:color="auto" w:fill="FFFFFF" w:themeFill="background1"/>
        <w:spacing w:line="240" w:lineRule="auto"/>
        <w:jc w:val="both"/>
        <w:rPr>
          <w:rFonts w:ascii="Times New Roman" w:hAnsi="Times New Roman" w:eastAsia="Times New Roman" w:cs="Times New Roman"/>
          <w:b w:val="1"/>
          <w:bCs w:val="1"/>
          <w:sz w:val="24"/>
          <w:szCs w:val="24"/>
        </w:rPr>
      </w:pPr>
      <w:r w:rsidRPr="5FC95D3D" w:rsidR="00F05C39">
        <w:rPr>
          <w:rFonts w:ascii="Times New Roman" w:hAnsi="Times New Roman" w:eastAsia="Times New Roman" w:cs="Times New Roman"/>
          <w:b w:val="1"/>
          <w:bCs w:val="1"/>
          <w:sz w:val="24"/>
          <w:szCs w:val="24"/>
        </w:rPr>
        <w:t xml:space="preserve">Prior History: </w:t>
      </w:r>
      <w:r w:rsidRPr="5FC95D3D" w:rsidR="0FEE5AD2">
        <w:rPr>
          <w:rFonts w:ascii="Times New Roman" w:hAnsi="Times New Roman" w:eastAsia="Times New Roman" w:cs="Times New Roman"/>
          <w:b w:val="0"/>
          <w:bCs w:val="0"/>
          <w:sz w:val="24"/>
          <w:szCs w:val="24"/>
        </w:rPr>
        <w:t>(2023-2024) H.715: Ordered to a House study</w:t>
      </w:r>
      <w:r w:rsidRPr="5FC95D3D" w:rsidR="0FEE5AD2">
        <w:rPr>
          <w:rFonts w:ascii="Times New Roman" w:hAnsi="Times New Roman" w:eastAsia="Times New Roman" w:cs="Times New Roman"/>
          <w:b w:val="1"/>
          <w:bCs w:val="1"/>
          <w:sz w:val="24"/>
          <w:szCs w:val="24"/>
        </w:rPr>
        <w:t xml:space="preserve"> </w:t>
      </w:r>
    </w:p>
    <w:p w:rsidR="0FEE5AD2" w:rsidP="5FC95D3D" w:rsidRDefault="0FEE5AD2" w14:paraId="3B1169AB" w14:textId="7880ECEC">
      <w:pPr>
        <w:keepLines w:val="1"/>
        <w:shd w:val="clear" w:color="auto" w:fill="FFFFFF" w:themeFill="background1"/>
        <w:spacing w:line="240" w:lineRule="auto"/>
        <w:jc w:val="both"/>
        <w:rPr>
          <w:rFonts w:ascii="Times New Roman" w:hAnsi="Times New Roman" w:eastAsia="Times New Roman" w:cs="Times New Roman"/>
          <w:b w:val="1"/>
          <w:bCs w:val="1"/>
          <w:sz w:val="24"/>
          <w:szCs w:val="24"/>
        </w:rPr>
      </w:pPr>
      <w:r w:rsidRPr="5FC95D3D" w:rsidR="0FEE5AD2">
        <w:rPr>
          <w:rFonts w:ascii="Times New Roman" w:hAnsi="Times New Roman" w:eastAsia="Times New Roman" w:cs="Times New Roman"/>
          <w:b w:val="1"/>
          <w:bCs w:val="1"/>
          <w:sz w:val="24"/>
          <w:szCs w:val="24"/>
        </w:rPr>
        <w:t xml:space="preserve"> </w:t>
      </w:r>
      <w:r w:rsidRPr="5FC95D3D" w:rsidR="0FEE5AD2">
        <w:rPr>
          <w:rFonts w:ascii="Times New Roman" w:hAnsi="Times New Roman" w:eastAsia="Times New Roman" w:cs="Times New Roman"/>
          <w:b w:val="0"/>
          <w:bCs w:val="0"/>
          <w:sz w:val="24"/>
          <w:szCs w:val="24"/>
        </w:rPr>
        <w:t>(2021-2022) H.832: Ordered to a House study</w:t>
      </w:r>
      <w:r w:rsidRPr="5FC95D3D" w:rsidR="0FEE5AD2">
        <w:rPr>
          <w:rFonts w:ascii="Times New Roman" w:hAnsi="Times New Roman" w:eastAsia="Times New Roman" w:cs="Times New Roman"/>
          <w:b w:val="1"/>
          <w:bCs w:val="1"/>
          <w:sz w:val="24"/>
          <w:szCs w:val="24"/>
        </w:rPr>
        <w:t xml:space="preserve"> </w:t>
      </w:r>
    </w:p>
    <w:p w:rsidR="00F7014D" w:rsidRDefault="00F05C39"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7014D" w:rsidRDefault="00F05C39"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F7014D" w:rsidRDefault="00F05C39"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7014D" w:rsidRDefault="00F05C39" w14:paraId="00000011"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CURRENT LAW:</w:t>
      </w:r>
      <w:r>
        <w:rPr>
          <w:rFonts w:ascii="Times New Roman" w:hAnsi="Times New Roman" w:eastAsia="Times New Roman" w:cs="Times New Roman"/>
          <w:b/>
        </w:rPr>
        <w:t xml:space="preserve"> </w:t>
      </w:r>
      <w:r>
        <w:rPr>
          <w:rFonts w:ascii="Times New Roman" w:hAnsi="Times New Roman" w:eastAsia="Times New Roman" w:cs="Times New Roman"/>
        </w:rPr>
        <w:t xml:space="preserve">Chapter 277 of the Acts of 2012 include: </w:t>
      </w:r>
    </w:p>
    <w:p w:rsidR="00F7014D" w:rsidRDefault="00F05C39" w14:paraId="00000012" w14:textId="77777777">
      <w:pPr>
        <w:keepLines/>
        <w:shd w:val="clear" w:color="auto" w:fill="FFFFFF"/>
        <w:spacing w:line="240" w:lineRule="auto"/>
        <w:jc w:val="both"/>
        <w:rPr>
          <w:rFonts w:ascii="Times New Roman" w:hAnsi="Times New Roman" w:eastAsia="Times New Roman" w:cs="Times New Roman"/>
          <w:highlight w:val="white"/>
        </w:rPr>
      </w:pPr>
      <w:r>
        <w:rPr>
          <w:rFonts w:ascii="Times New Roman" w:hAnsi="Times New Roman" w:eastAsia="Times New Roman" w:cs="Times New Roman"/>
          <w:highlight w:val="white"/>
        </w:rPr>
        <w:t>SECTION 8-7: APPLICATION OF STATE GENERAL LAWS</w:t>
      </w:r>
    </w:p>
    <w:p w:rsidR="00F7014D" w:rsidRDefault="00F05C39" w14:paraId="00000013"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highlight w:val="white"/>
        </w:rPr>
        <w:t>Except as otherwise expressly provided in this charter and authorized by law, all city elections shall be governed by the laws of the commonwealth relating to the right to vote, the registration of voters, the nomination of candidates, voting places, the conduct of preliminary, regular and special city elections, the submission of charters, charter amendments and other propositions to the voters, the counting of votes, the recounting of votes and the determination of results.</w:t>
      </w:r>
    </w:p>
    <w:p w:rsidR="00F7014D" w:rsidRDefault="00F7014D" w14:paraId="00000014" w14:textId="77777777">
      <w:pPr>
        <w:keepLines/>
        <w:shd w:val="clear" w:color="auto" w:fill="FFFFFF"/>
        <w:spacing w:line="240" w:lineRule="auto"/>
        <w:jc w:val="both"/>
        <w:rPr>
          <w:rFonts w:ascii="Times New Roman" w:hAnsi="Times New Roman" w:eastAsia="Times New Roman" w:cs="Times New Roman"/>
        </w:rPr>
      </w:pPr>
    </w:p>
    <w:p w:rsidR="00F7014D" w:rsidP="5FC95D3D" w:rsidRDefault="00F05C39" w14:paraId="00000015"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5FC95D3D" w:rsidR="00F05C39">
        <w:rPr>
          <w:rFonts w:ascii="Times New Roman" w:hAnsi="Times New Roman" w:eastAsia="Times New Roman" w:cs="Times New Roman"/>
          <w:b w:val="1"/>
          <w:bCs w:val="1"/>
          <w:sz w:val="24"/>
          <w:szCs w:val="24"/>
          <w:lang w:val="en-US"/>
        </w:rPr>
        <w:t xml:space="preserve">SUMMARY: </w:t>
      </w:r>
      <w:r w:rsidRPr="5FC95D3D" w:rsidR="00F05C39">
        <w:rPr>
          <w:rFonts w:ascii="Times New Roman" w:hAnsi="Times New Roman" w:eastAsia="Times New Roman" w:cs="Times New Roman"/>
          <w:lang w:val="en-US"/>
        </w:rPr>
        <w:t xml:space="preserve">This bill amends the Northampton city charter to allow all city residents, regardless of citizenship status, to vote in local elections. It </w:t>
      </w:r>
      <w:r w:rsidRPr="5FC95D3D" w:rsidR="00F05C39">
        <w:rPr>
          <w:rFonts w:ascii="Times New Roman" w:hAnsi="Times New Roman" w:eastAsia="Times New Roman" w:cs="Times New Roman"/>
          <w:lang w:val="en-US"/>
        </w:rPr>
        <w:t>permits</w:t>
      </w:r>
      <w:r w:rsidRPr="5FC95D3D" w:rsidR="00F05C39">
        <w:rPr>
          <w:rFonts w:ascii="Times New Roman" w:hAnsi="Times New Roman" w:eastAsia="Times New Roman" w:cs="Times New Roman"/>
          <w:lang w:val="en-US"/>
        </w:rPr>
        <w:t xml:space="preserve"> non-citizen residents to vote in preliminary, special, and regular city elections, including elections for ward-specific offices. Individuals must still meet all other qualifications under state law. The bill renumbers existing charter sections to accommodate this change. It takes effect </w:t>
      </w:r>
      <w:r w:rsidRPr="5FC95D3D" w:rsidR="00F05C39">
        <w:rPr>
          <w:rFonts w:ascii="Times New Roman" w:hAnsi="Times New Roman" w:eastAsia="Times New Roman" w:cs="Times New Roman"/>
          <w:lang w:val="en-US"/>
        </w:rPr>
        <w:t>immediately</w:t>
      </w:r>
      <w:r w:rsidRPr="5FC95D3D" w:rsidR="00F05C39">
        <w:rPr>
          <w:rFonts w:ascii="Times New Roman" w:hAnsi="Times New Roman" w:eastAsia="Times New Roman" w:cs="Times New Roman"/>
          <w:lang w:val="en-US"/>
        </w:rPr>
        <w:t xml:space="preserve"> upon passage.</w:t>
      </w:r>
    </w:p>
    <w:sectPr w:rsidR="00F7014D">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4D"/>
    <w:rsid w:val="002663FB"/>
    <w:rsid w:val="00F05C39"/>
    <w:rsid w:val="00F7014D"/>
    <w:rsid w:val="0FEE5AD2"/>
    <w:rsid w:val="3C72E8A5"/>
    <w:rsid w:val="472DB3C9"/>
    <w:rsid w:val="5FC95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50066DCC-2243-45A5-ACD2-F2662934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16E3C-F461-489C-ADDC-8FD65F5BC268}">
  <ds:schemaRefs>
    <ds:schemaRef ds:uri="http://schemas.microsoft.com/sharepoint/v3/contenttype/forms"/>
  </ds:schemaRefs>
</ds:datastoreItem>
</file>

<file path=customXml/itemProps2.xml><?xml version="1.0" encoding="utf-8"?>
<ds:datastoreItem xmlns:ds="http://schemas.openxmlformats.org/officeDocument/2006/customXml" ds:itemID="{5BE99210-6ABC-4450-B59B-ACE7EAEA1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7F831-0CBB-416A-85A9-002E1C55960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2025-07-29T13:48:00.0000000Z</dcterms:created>
  <dcterms:modified xsi:type="dcterms:W3CDTF">2025-07-29T13:51:33.7397371Z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