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4191</w:t>
            </w:r>
          </w:p>
        </w:tc>
      </w:tr>
      <w:tr>
        <w:trPr>
          <w:cantSplit w:val="0"/>
          <w:trHeight w:val="69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authorizing the town of Wellfleet to enact a pesticide reduction bylaw</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Luddy</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H.995, Representative Luddy </w:t>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C">
            <w:pPr>
              <w:spacing w:after="0" w:before="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2032-2024: Filed as S.2939; Reported favorably and placed in Orders of the Day for the next session; No further action taken</w:t>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2025-2026: New file in the House</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14"/>
                <w:szCs w:val="14"/>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0" w:before="0" w:lineRule="auto"/>
              <w:rPr>
                <w:rFonts w:ascii="Times New Roman" w:cs="Times New Roman" w:eastAsia="Times New Roman" w:hAnsi="Times New Roman"/>
                <w:b w:val="1"/>
                <w:sz w:val="20"/>
                <w:szCs w:val="20"/>
                <w:u w:val="single"/>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Wellfleet to adopt a pesticide reduction bylaw, local approval was received. The purpose of this bylaw is to reduce toxic pesticide use in and on public and private property in the Town of Wellfleet in order to promote a healthy environment and protect the public. Additionally, for the implementation of sustainable land and building management practices on all public and private property.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2 of this bill details the dangers of pesticide use and its potential health implications. Further, Section 4 provides several definitions pertaining to pesticide use and this act. The names and uses of pesticides that are allowed under this act are detailed in Section 6 as well as certain situations that constitute pesticide use (Ie. ecological restoration or an emergency public health situation).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will be enforced by the town manager of Wellfleet. Anyone who violates this act will be subject to a fine of $100 for the first offense and $300 for each subsequent offense. If the offender is a commercial applicator, the right to do business in the Town of Wellfleet may be revoked. This act will take effect upon its passage and includes a severability clause which states that if any aspect of this bill is found to be invalid or unenforceable, the remaining sections will remain in effect.</w:t>
            </w:r>
            <w:r w:rsidDel="00000000" w:rsidR="00000000" w:rsidRPr="00000000">
              <w:rPr>
                <w:rtl w:val="0"/>
              </w:rPr>
            </w:r>
          </w:p>
        </w:tc>
      </w:tr>
    </w:tbl>
    <w:p w:rsidR="00000000" w:rsidDel="00000000" w:rsidP="00000000" w:rsidRDefault="00000000" w:rsidRPr="00000000" w14:paraId="0000001A">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