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ELECTION LAWS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2025-2026 (194th) BILL SUMMARY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Bill Number:</w:t>
      </w:r>
      <w:r w:rsidDel="00000000" w:rsidR="00000000" w:rsidRPr="00000000">
        <w:rPr>
          <w:rFonts w:ascii="Times New Roman" w:cs="Times New Roman" w:eastAsia="Times New Roman" w:hAnsi="Times New Roman"/>
          <w:sz w:val="24"/>
          <w:szCs w:val="24"/>
          <w:rtl w:val="0"/>
        </w:rPr>
        <w:t xml:space="preserve">  H.4262</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b w:val="1"/>
          <w:bCs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42424"/>
          <w:sz w:val="24"/>
          <w:szCs w:val="24"/>
          <w:rtl w:val="0"/>
        </w:rPr>
        <w:t xml:space="preserve">An Act implement ranked choice voting in Boston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242424"/>
        </w:rPr>
      </w:pPr>
      <w:r w:rsidDel="00000000" w:rsidR="00000000" w:rsidRPr="00000000">
        <w:rPr>
          <w:rFonts w:ascii="Calibri" w:cs="Calibri" w:eastAsia="Calibri" w:hAnsi="Calibri"/>
          <w:color w:val="2424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Sponsor(s):</w:t>
      </w:r>
      <w:r w:rsidDel="00000000" w:rsidR="00000000" w:rsidRPr="00000000">
        <w:rPr>
          <w:rFonts w:ascii="Times New Roman" w:cs="Times New Roman" w:eastAsia="Times New Roman" w:hAnsi="Times New Roman"/>
          <w:sz w:val="24"/>
          <w:szCs w:val="24"/>
          <w:rtl w:val="0"/>
        </w:rPr>
        <w:t xml:space="preserve"> Rep. Samantha Montano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Hearing Date:</w:t>
      </w:r>
      <w:r w:rsidDel="00000000" w:rsidR="00000000" w:rsidRPr="00000000">
        <w:rPr>
          <w:rFonts w:ascii="Times New Roman" w:cs="Times New Roman" w:eastAsia="Times New Roman" w:hAnsi="Times New Roman"/>
          <w:sz w:val="24"/>
          <w:szCs w:val="24"/>
          <w:rtl w:val="0"/>
        </w:rPr>
        <w:t xml:space="preserve"> February 10, 2026</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Reporting Deadline:</w:t>
      </w:r>
      <w:r w:rsidDel="00000000" w:rsidR="00000000" w:rsidRPr="00000000">
        <w:rPr>
          <w:rFonts w:ascii="Times New Roman" w:cs="Times New Roman" w:eastAsia="Times New Roman" w:hAnsi="Times New Roman"/>
          <w:sz w:val="24"/>
          <w:szCs w:val="24"/>
          <w:rtl w:val="0"/>
        </w:rPr>
        <w:t xml:space="preserve"> March 18, 2026</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N/A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Similar Matters:</w:t>
      </w:r>
      <w:r w:rsidDel="00000000" w:rsidR="00000000" w:rsidRPr="00000000">
        <w:rPr>
          <w:rFonts w:ascii="Times New Roman" w:cs="Times New Roman" w:eastAsia="Times New Roman" w:hAnsi="Times New Roman"/>
          <w:sz w:val="24"/>
          <w:szCs w:val="24"/>
          <w:rtl w:val="0"/>
        </w:rPr>
        <w:t xml:space="preserve"> N/A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Under current law, Massachusetts General Laws Chapters 50 through 54 govern the conduct of all state and local elections, including how votes are cast, counted, and certified. Specifically, M.G.L. c.50, §1 defines the general framework for elections, M.G.L. c.54, §§1–135 outlines the administration of elections (including ballot format, counting, and certification), and M.G.L. c.53 governs nominations and ballot access. Under this system, voters may select only one candidate per office, and votes are not transferred or redistributed based on ranked preference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b w:val="1"/>
          <w:bCs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42424"/>
          <w:sz w:val="24"/>
          <w:szCs w:val="24"/>
          <w:rtl w:val="0"/>
        </w:rPr>
        <w:t xml:space="preserve">This legislation will establish ranked choice voting for Boston mayoral, district city councilor, and at-large city council elections, defining voter rankings, ballot design, tabulation rules for single- and multi-winner races, tie-breaking procedures, results reporting, and voter education requirements, while granting the election commission regulatory authority; it further amends existing election laws to conform with ranked choice voting, requires voter approval by ballot question, and applies to municipal elections held at least one year after acceptance.</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