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4319</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relative to banning the retail sale of dogs, cats, rabbits, and guinea pigs in pet shops </w:t>
            </w:r>
          </w:p>
        </w:tc>
      </w:tr>
      <w:tr>
        <w:trPr>
          <w:cantSplit w:val="0"/>
          <w:tblHeader w:val="0"/>
        </w:trPr>
        <w:tc>
          <w:tcPr/>
          <w:p w:rsidR="00000000" w:rsidDel="00000000" w:rsidP="00000000" w:rsidRDefault="00000000" w:rsidRPr="00000000" w14:paraId="00000007">
            <w:pPr>
              <w:spacing w:after="240" w:lineRule="auto"/>
              <w:rPr>
                <w:b w:val="1"/>
                <w:u w:val="single"/>
              </w:rPr>
            </w:pPr>
            <w:r w:rsidDel="00000000" w:rsidR="00000000" w:rsidRPr="00000000">
              <w:rPr>
                <w:b w:val="1"/>
                <w:u w:val="single"/>
                <w:rtl w:val="0"/>
              </w:rPr>
              <w:t xml:space="preserve">SPONSORS</w:t>
            </w:r>
          </w:p>
          <w:p w:rsidR="00000000" w:rsidDel="00000000" w:rsidP="00000000" w:rsidRDefault="00000000" w:rsidRPr="00000000" w14:paraId="00000008">
            <w:pPr>
              <w:spacing w:after="240" w:lineRule="auto"/>
              <w:rPr>
                <w:b w:val="1"/>
                <w:u w:val="single"/>
              </w:rPr>
            </w:pPr>
            <w:r w:rsidDel="00000000" w:rsidR="00000000" w:rsidRPr="00000000">
              <w:rPr>
                <w:b w:val="1"/>
                <w:u w:val="single"/>
                <w:rtl w:val="0"/>
              </w:rPr>
              <w:t xml:space="preserve">SIMILAR MATTERS</w:t>
            </w:r>
          </w:p>
        </w:tc>
        <w:tc>
          <w:tcPr/>
          <w:p w:rsidR="00000000" w:rsidDel="00000000" w:rsidP="00000000" w:rsidRDefault="00000000" w:rsidRPr="00000000" w14:paraId="00000009">
            <w:pPr>
              <w:spacing w:after="240" w:lineRule="auto"/>
              <w:rPr/>
            </w:pPr>
            <w:r w:rsidDel="00000000" w:rsidR="00000000" w:rsidRPr="00000000">
              <w:rPr>
                <w:rtl w:val="0"/>
              </w:rPr>
              <w:t xml:space="preserve">Representative Scanlon </w:t>
            </w:r>
          </w:p>
          <w:p w:rsidR="00000000" w:rsidDel="00000000" w:rsidP="00000000" w:rsidRDefault="00000000" w:rsidRPr="00000000" w14:paraId="0000000A">
            <w:pPr>
              <w:spacing w:after="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line="240" w:lineRule="auto"/>
              <w:rPr/>
            </w:pPr>
            <w:r w:rsidDel="00000000" w:rsidR="00000000" w:rsidRPr="00000000">
              <w:rPr>
                <w:rtl w:val="0"/>
              </w:rPr>
              <w:t xml:space="preserve">New file; No previous history.</w:t>
            </w:r>
          </w:p>
          <w:p w:rsidR="00000000" w:rsidDel="00000000" w:rsidP="00000000" w:rsidRDefault="00000000" w:rsidRPr="00000000" w14:paraId="0000000D">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keepNext w:val="1"/>
              <w:keepLines w:val="1"/>
              <w:spacing w:after="240" w:lineRule="auto"/>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10">
            <w:pPr>
              <w:spacing w:line="240" w:lineRule="auto"/>
              <w:rPr>
                <w:color w:val="333333"/>
              </w:rPr>
            </w:pPr>
            <w:r w:rsidDel="00000000" w:rsidR="00000000" w:rsidRPr="00000000">
              <w:rPr>
                <w:rtl w:val="0"/>
              </w:rPr>
              <w:t xml:space="preserve">This bill amends Section 39A of Section 129 of Massachusetts General Law by prohibiting licensed pet shops from selling or offering for sale dogs, cats, rabbits, or guinea pigs. However, pet shops may provide space for animal rescues or shelters to offer such animals for adoption, provided the shop has no ownership interest.  The law does not restrict municipalities from enacting their own regulations.  The provisions of this bill shall take effect 90 days after passage.</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MrlJ4U++O1c8lgdFVsJ/Mt+Mg==">CgMxLjA4AHIhMS05dzBsSG1NR3lRcnFRaEJOWjdFcGlhY1pYTEdGTnBB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2025-03-19T13:31:00Z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ies>
</file>