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60.0" w:type="dxa"/>
        <w:jc w:val="left"/>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2415"/>
        <w:gridCol w:w="6945"/>
        <w:tblGridChange w:id="0">
          <w:tblGrid>
            <w:gridCol w:w="2415"/>
            <w:gridCol w:w="694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4512</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modernizing the governance of Port Authority parks in East Boston </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Madaro</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253.906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0" w:before="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HD5607; referred to the House Committee on Rules where no further action was taken</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0" w:before="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H3809; reported favorably by ENR; referred to HWM</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0" w:before="4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specifies a process for development of a park on the Piers in East Boston under the direction of the East Boston Project Advisory Committee (PAC).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Plans for the development of a park on the East Boston waterfront are outlined in 3 distinct phases. The Massachusetts Port Authority (MassPort) is authorized to enter into an agreement with the East Boston Project Advisory Committee (PAC) concerning the planning, design, construction, use, operation, security, and maintenance of the parks and setting out the financial responsibilities of both the PAC and the authority relative to these facilities.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MassPort is directed to design, construct, improve, maintain, and secure the parks, including associated buildings, facilities and improvements, in consultation with and subject to review by the PAC. MassPort is also authorized to apply for and receive funds from any source and to expend the same to provide for the design, construction and operation of the parks.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also clarifies PAC membership and 3-year term limits and mandates that appointments to the PAC ensure representation of the demographic, linguistic and geographic diversity of East Boston and shall include persons identifying as immigrants, persons of color, seniors, parents or members of groups working with youth, members of groups advocating for the environment or environmental justice communities, persons with disabilities and other demographics with a vested interest in the quality and accessibility of these parks.</w:t>
            </w:r>
          </w:p>
        </w:tc>
      </w:tr>
    </w:tbl>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