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415"/>
        <w:gridCol w:w="6945"/>
        <w:tblGridChange w:id="0">
          <w:tblGrid>
            <w:gridCol w:w="2415"/>
            <w:gridCol w:w="694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4512</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modernizing the governance of Port Authority parks in East Boston </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Madaro</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53.906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HD5607; referred to the House Committee on Rules where no further action was taken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H3809; reported favorably by ENR; referred to HWM</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0" w:before="4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specifies a process for development of a park on the Piers in East Boston under the direction of the East Boston Project Advisory Committee (PAC).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Plans for the development of a park on the East Boston waterfront are outlined in 3 distinct phases. The Massachusetts Port Authority (MassPort) is authorized to enter into an agreement with the East Boston Project Advisory Committee (PAC) concerning the planning, design, construction, use, operation, security, and maintenance of the parks and setting out the financial responsibilities of both the PAC and the authority relative to these facilities.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MassPort is directed to design, construct, improve, maintain, and secure the parks, including associated buildings, facilities and improvements, in consultation with and subject to review by the PAC. MassPort is also authorized to apply for and receive funds from any source and to expend the same to provide for the design, construction and operation of the parks.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also clarifies PAC membership and 3-year term limits and mandates that appointments to the PAC ensure representation of the demographic, linguistic and geographic diversity of East Boston and shall include persons identifying as immigrants, persons of color, seniors, parents or members of groups working with youth, members of groups advocating for the environment or environmental justice communities, persons with disabilities and other demographics with a vested interest in the quality and accessibility of these parks.</w:t>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