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4917</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99syvmx2arv1" w:id="0"/>
            <w:bookmarkEnd w:id="0"/>
            <w:r w:rsidDel="00000000" w:rsidR="00000000" w:rsidRPr="00000000">
              <w:rPr>
                <w:rFonts w:ascii="Times New Roman" w:cs="Times New Roman" w:eastAsia="Times New Roman" w:hAnsi="Times New Roman"/>
                <w:sz w:val="24"/>
                <w:szCs w:val="24"/>
                <w:rtl w:val="0"/>
              </w:rPr>
              <w:t xml:space="preserve">An Act relative to a town-wide ban on the use of second-generation anticoagulant rodenticides (SGARs)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Gordon</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tc>
      </w:tr>
      <w:tr>
        <w:trPr>
          <w:cantSplit w:val="0"/>
          <w:trHeight w:val="10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bCs w:val="1"/>
                <w:sz w:val="24"/>
                <w:szCs w:val="24"/>
                <w:u w:val="single"/>
              </w:rPr>
            </w:pPr>
            <w:r w:rsidDel="00000000" w:rsidR="00000000" w:rsidRPr="00000000">
              <w:rPr>
                <w:rtl w:val="0"/>
              </w:rPr>
            </w:r>
          </w:p>
        </w:tc>
      </w:tr>
      <w:tr>
        <w:trPr>
          <w:cantSplit w:val="0"/>
          <w:trHeight w:val="3666.3574218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authorizes the Town of Bedford to impose an ordinance to prohibit or restrict the application of second generation coagulant rodenticides, including by licensed commercial applicators. However, the Board of Health may use such methods to remediate public health issues.</w:t>
            </w:r>
            <w:r w:rsidDel="00000000" w:rsidR="00000000" w:rsidRPr="00000000">
              <w:rPr>
                <w:rtl w:val="0"/>
              </w:rPr>
            </w:r>
          </w:p>
        </w:tc>
      </w:tr>
    </w:tbl>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