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Bill Summary</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__________________________________________________________________</w:t>
      </w:r>
    </w:p>
    <w:tbl>
      <w:tblPr>
        <w:tblStyle w:val="Table1"/>
        <w:tblW w:w="9345.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865"/>
        <w:gridCol w:w="6480"/>
        <w:tblGridChange w:id="0">
          <w:tblGrid>
            <w:gridCol w:w="2865"/>
            <w:gridCol w:w="6480"/>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No. 5363</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0" w:before="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Act modernizing the lease authorization for East Mountain State Forest</w:t>
            </w:r>
          </w:p>
          <w:p w:rsidR="00000000" w:rsidDel="00000000" w:rsidP="00000000" w:rsidRDefault="00000000" w:rsidRPr="00000000" w14:paraId="00000007">
            <w:pPr>
              <w:spacing w:after="0" w:before="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25"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8">
            <w:pPr>
              <w:spacing w:after="0" w:before="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SPONSORS</w:t>
            </w:r>
            <w:r w:rsidDel="00000000" w:rsidR="00000000" w:rsidRPr="00000000">
              <w:rPr>
                <w:rFonts w:ascii="Times New Roman" w:cs="Times New Roman" w:eastAsia="Times New Roman" w:hAnsi="Times New Roman"/>
                <w:sz w:val="24"/>
                <w:szCs w:val="24"/>
                <w:rtl w:val="0"/>
              </w:rPr>
              <w:t xml:space="preserve">                           Representative Davis</w:t>
            </w:r>
            <w:r w:rsidDel="00000000" w:rsidR="00000000" w:rsidRPr="00000000">
              <w:rPr>
                <w:rtl w:val="0"/>
              </w:rPr>
            </w:r>
          </w:p>
        </w:tc>
      </w:tr>
      <w:tr>
        <w:trPr>
          <w:cantSplit w:val="0"/>
          <w:trHeight w:val="102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w:t>
            </w:r>
          </w:p>
        </w:tc>
      </w:tr>
      <w:tr>
        <w:trPr>
          <w:cantSplit w:val="0"/>
          <w:trHeight w:val="117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C">
            <w:pPr>
              <w:spacing w:after="0" w:before="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PRIOR HISTORY</w:t>
            </w:r>
          </w:p>
          <w:p w:rsidR="00000000" w:rsidDel="00000000" w:rsidP="00000000" w:rsidRDefault="00000000" w:rsidRPr="00000000" w14:paraId="0000000D">
            <w:pPr>
              <w:spacing w:after="0" w:before="0" w:lineRule="auto"/>
              <w:rPr>
                <w:rFonts w:ascii="Times New Roman" w:cs="Times New Roman" w:eastAsia="Times New Roman" w:hAnsi="Times New Roman"/>
                <w:b w:val="1"/>
                <w:bCs w:val="1"/>
                <w:sz w:val="20"/>
                <w:szCs w:val="20"/>
                <w:u w:val="single"/>
              </w:rPr>
            </w:pPr>
            <w:r w:rsidDel="00000000" w:rsidR="00000000" w:rsidRPr="00000000">
              <w:rPr>
                <w:rtl w:val="0"/>
              </w:rPr>
            </w:r>
          </w:p>
          <w:p w:rsidR="00000000" w:rsidDel="00000000" w:rsidP="00000000" w:rsidRDefault="00000000" w:rsidRPr="00000000" w14:paraId="0000000E">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file, no previous history.</w:t>
            </w:r>
          </w:p>
          <w:p w:rsidR="00000000" w:rsidDel="00000000" w:rsidP="00000000" w:rsidRDefault="00000000" w:rsidRPr="00000000" w14:paraId="0000000F">
            <w:pPr>
              <w:spacing w:after="0" w:before="0" w:lineRule="auto"/>
              <w:rPr>
                <w:rFonts w:ascii="Times New Roman" w:cs="Times New Roman" w:eastAsia="Times New Roman" w:hAnsi="Times New Roman"/>
                <w:sz w:val="12"/>
                <w:szCs w:val="12"/>
              </w:rPr>
            </w:pPr>
            <w:r w:rsidDel="00000000" w:rsidR="00000000" w:rsidRPr="00000000">
              <w:rPr>
                <w:rtl w:val="0"/>
              </w:rPr>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1">
            <w:pPr>
              <w:spacing w:after="0" w:before="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SUMMARY</w:t>
            </w:r>
          </w:p>
          <w:p w:rsidR="00000000" w:rsidDel="00000000" w:rsidP="00000000" w:rsidRDefault="00000000" w:rsidRPr="00000000" w14:paraId="00000012">
            <w:pPr>
              <w:spacing w:after="0" w:before="0" w:lineRule="auto"/>
              <w:rPr>
                <w:rFonts w:ascii="Times New Roman" w:cs="Times New Roman" w:eastAsia="Times New Roman" w:hAnsi="Times New Roman"/>
                <w:b w:val="1"/>
                <w:bCs w:val="1"/>
                <w:sz w:val="20"/>
                <w:szCs w:val="20"/>
                <w:u w:val="single"/>
              </w:rPr>
            </w:pPr>
            <w:r w:rsidDel="00000000" w:rsidR="00000000" w:rsidRPr="00000000">
              <w:rPr>
                <w:rtl w:val="0"/>
              </w:rPr>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bill updates Chapter 86 of the Acts of 1975 by authorizing the Commissioner of Conservation and Recreation (DCR) to lease land in East Mountain State Forest for up to 30 years, with optional renewals of up to 30 additional years. The lease may support skiing and other seasonal or year-round outdoor recreation activities, must be approved by the commissioner, and must include a fair rental fee.</w:t>
            </w:r>
            <w:r w:rsidDel="00000000" w:rsidR="00000000" w:rsidRPr="00000000">
              <w:rPr>
                <w:rtl w:val="0"/>
              </w:rPr>
            </w:r>
          </w:p>
        </w:tc>
      </w:tr>
    </w:tbl>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