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6480"/>
        <w:tblGridChange w:id="0">
          <w:tblGrid>
            <w:gridCol w:w="2865"/>
            <w:gridCol w:w="648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5363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modernizing the lease authorization for East Mountain State Forest</w:t>
            </w:r>
          </w:p>
          <w:p w:rsidR="00000000" w:rsidDel="00000000" w:rsidP="00000000" w:rsidRDefault="00000000" w:rsidRPr="00000000" w14:paraId="00000007">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Davis</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17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PRIOR HISTORY</w:t>
            </w:r>
          </w:p>
          <w:p w:rsidR="00000000" w:rsidDel="00000000" w:rsidP="00000000" w:rsidRDefault="00000000" w:rsidRPr="00000000" w14:paraId="0000000D">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p w:rsidR="00000000" w:rsidDel="00000000" w:rsidP="00000000" w:rsidRDefault="00000000" w:rsidRPr="00000000" w14:paraId="0000000F">
            <w:pPr>
              <w:spacing w:after="0" w:before="0" w:lineRule="auto"/>
              <w:rPr>
                <w:rFonts w:ascii="Times New Roman" w:cs="Times New Roman" w:eastAsia="Times New Roman" w:hAnsi="Times New Roman"/>
                <w:sz w:val="12"/>
                <w:szCs w:val="12"/>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updates Chapter 86 of the Acts of 1975 by authorizing the Commissioner of Conservation and Recreation (DCR) to lease land in East Mountain State Forest for up to 30 years, with optional renewals of up to 30 additional years. The lease may support skiing and other seasonal or year-round outdoor recreation activities, must be approved by the commissioner, and must include a fair rental fee.</w:t>
            </w:r>
            <w:r w:rsidDel="00000000" w:rsidR="00000000" w:rsidRPr="00000000">
              <w:rPr>
                <w:rtl w:val="0"/>
              </w:rPr>
            </w:r>
          </w:p>
        </w:tc>
      </w:tr>
    </w:tbl>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