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4E56" w14:textId="77777777" w:rsid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1C1D8F3" wp14:editId="44ACC568">
            <wp:extent cx="36385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</w:rPr>
        <w:t> </w:t>
      </w:r>
    </w:p>
    <w:p w14:paraId="34242B5C" w14:textId="42CFA701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EDDB5A2" w14:textId="4F3C5FD6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TESTIMONY OF AARP MASSACHUSETTS</w:t>
      </w:r>
    </w:p>
    <w:p w14:paraId="50E86464" w14:textId="77777777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D608136" w14:textId="629635FB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JENNIFER BENSON, STATE DIRECTOR</w:t>
      </w:r>
    </w:p>
    <w:p w14:paraId="543437CC" w14:textId="77777777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E7EC96F" w14:textId="299C6D78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REGARDING HOUSE BILL NO.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5376 </w:t>
      </w: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AND SENATE BILL NO.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3057</w:t>
      </w:r>
    </w:p>
    <w:p w14:paraId="28697061" w14:textId="77777777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281EDBD" w14:textId="50A2B879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AN ACT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RELATIVE TO ASSISTED LIVING RESIDENCES IN THE COMMONWEALTH</w:t>
      </w:r>
    </w:p>
    <w:p w14:paraId="3C7C1F55" w14:textId="77777777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7DB6A00D" w14:textId="315A7784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BEFORE THE JOINT COMMITTEE ON AGING AND INDEPENDENCE</w:t>
      </w:r>
    </w:p>
    <w:p w14:paraId="1C7B7B36" w14:textId="77777777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5582655F" w14:textId="4214C582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MONDAY, MAY 11, 2026</w:t>
      </w:r>
    </w:p>
    <w:p w14:paraId="757F4818" w14:textId="77777777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572417F6" w14:textId="3B583D02" w:rsidR="001F2599" w:rsidRPr="001F2599" w:rsidRDefault="001F2599" w:rsidP="001F25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1F259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BOSTON, MASSACHUSETTS</w:t>
      </w:r>
    </w:p>
    <w:p w14:paraId="6BBCC726" w14:textId="77777777" w:rsidR="001F2599" w:rsidRDefault="001F2599" w:rsidP="001F2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29AB913E" w14:textId="3A8DC49E" w:rsidR="001F2599" w:rsidRDefault="001F2599" w:rsidP="001F25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21AC825" w14:textId="77777777" w:rsidR="001F2599" w:rsidRDefault="001F2599" w:rsidP="001F2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35EFC96C" w14:textId="383548C1" w:rsidR="001F2599" w:rsidRDefault="001F2599" w:rsidP="001F25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Good morning Chairs Jehlen, Stanley and members of the Committee.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AARP is the nation's largest nonprofit, nonpartisan organization dedicated to empowering Americans 50 and older to choose how they live as they age. With a nationwide presence, AARP strengthens communities and advocates for what matters most to the more than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</w:rPr>
        <w:t>100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million Americans 50-plus and their families: health security, financial stability</w:t>
      </w:r>
      <w:r w:rsidR="00444656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 and personal fulfillment.</w:t>
      </w:r>
    </w:p>
    <w:p w14:paraId="4B0F132B" w14:textId="77777777" w:rsidR="001F2599" w:rsidRDefault="001F2599" w:rsidP="001F25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C5F37C8" w14:textId="77777777" w:rsidR="001F2599" w:rsidRDefault="001F2599" w:rsidP="001F25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AARP supports policies related to supportive housing, including assisted living residences, which ensure 1) quality and consumer protection; 2) affordability and access – including increased access for individuals with low-income individuals; 3) transparency; and 4) regulatory standards with strict state-level oversight and clear definitions.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5598ABC" w14:textId="77777777" w:rsidR="002C16CD" w:rsidRDefault="002C16CD" w:rsidP="001F2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</w:p>
    <w:p w14:paraId="19B7A060" w14:textId="3C49EE7B" w:rsidR="003E7308" w:rsidRDefault="003E7308" w:rsidP="001F2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3E7308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House Bill No. 5376</w:t>
      </w:r>
      <w:r w:rsidR="002C16CD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/</w:t>
      </w:r>
      <w:r w:rsidRPr="003E7308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Senate Bill No 3057 - An Act Relative To Assisted Living Residences In The Commonwealth</w:t>
      </w:r>
      <w:r w:rsidRPr="003E730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2C16CD">
        <w:rPr>
          <w:rStyle w:val="normaltextrun"/>
          <w:rFonts w:ascii="Arial" w:eastAsiaTheme="majorEastAsia" w:hAnsi="Arial" w:cs="Arial"/>
          <w:sz w:val="22"/>
          <w:szCs w:val="22"/>
        </w:rPr>
        <w:t>reflects</w:t>
      </w:r>
      <w:r w:rsidR="001F2599">
        <w:rPr>
          <w:rStyle w:val="normaltextrun"/>
          <w:rFonts w:ascii="Arial" w:eastAsiaTheme="majorEastAsia" w:hAnsi="Arial" w:cs="Arial"/>
          <w:sz w:val="22"/>
          <w:szCs w:val="22"/>
        </w:rPr>
        <w:t xml:space="preserve"> a meaningful effort to modernize assisted living oversight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by dedicating a funding stream through a trust fund that will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</w:rPr>
        <w:t>be overseen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by the Executive Office of Aging and Independence.</w:t>
      </w:r>
    </w:p>
    <w:p w14:paraId="1C87809A" w14:textId="77777777" w:rsidR="003E7308" w:rsidRDefault="003E7308" w:rsidP="001F2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A2AB7DC" w14:textId="6004FA7A" w:rsidR="003E7308" w:rsidRDefault="003E7308" w:rsidP="001F259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AARP supports the bills, as proposed</w:t>
      </w:r>
      <w:r w:rsidR="00E671C8">
        <w:rPr>
          <w:rStyle w:val="eop"/>
          <w:rFonts w:ascii="Arial" w:eastAsiaTheme="majorEastAsia" w:hAnsi="Arial" w:cs="Arial"/>
          <w:sz w:val="22"/>
          <w:szCs w:val="22"/>
        </w:rPr>
        <w:t>,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 because the Trust Fund will </w:t>
      </w:r>
      <w:r w:rsidRPr="003E7308">
        <w:rPr>
          <w:rStyle w:val="eop"/>
          <w:rFonts w:ascii="Arial" w:eastAsiaTheme="majorEastAsia" w:hAnsi="Arial" w:cs="Arial"/>
          <w:sz w:val="22"/>
          <w:szCs w:val="22"/>
        </w:rPr>
        <w:t>pay for: (i) assisted living certification unit staffing; (ii) assisted living certification compliance reviews; (iii) assisted living complaint and incident investigations; (iv) ombudsman services for residents of assisted living and residents’ families; (v) maintaining public-facing data, reporting and accountability measures; (vi) managing appeals of findings and fines; and (vii) oversight enhancements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 – all of which are critical consumer protections.</w:t>
      </w:r>
    </w:p>
    <w:p w14:paraId="27094B8A" w14:textId="77777777" w:rsidR="003E7308" w:rsidRDefault="003E7308" w:rsidP="001F259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670C9C06" w14:textId="7985C953" w:rsidR="003E7308" w:rsidRPr="003E7308" w:rsidRDefault="003E7308" w:rsidP="001F259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In addition, AARP supports the Trust Fund using </w:t>
      </w:r>
      <w:r w:rsidRPr="003E7308">
        <w:rPr>
          <w:rFonts w:ascii="Arial" w:hAnsi="Arial" w:cs="Arial"/>
        </w:rPr>
        <w:t>revenues collected from certification application and renewal fees</w:t>
      </w:r>
      <w:r>
        <w:rPr>
          <w:rFonts w:ascii="Arial" w:hAnsi="Arial" w:cs="Arial"/>
        </w:rPr>
        <w:t xml:space="preserve">; and </w:t>
      </w:r>
      <w:r w:rsidRPr="003E7308">
        <w:rPr>
          <w:rFonts w:ascii="Arial" w:hAnsi="Arial" w:cs="Arial"/>
        </w:rPr>
        <w:t>any revenues collected from fines</w:t>
      </w:r>
      <w:r>
        <w:rPr>
          <w:rFonts w:ascii="Arial" w:hAnsi="Arial" w:cs="Arial"/>
        </w:rPr>
        <w:t>.</w:t>
      </w:r>
    </w:p>
    <w:p w14:paraId="7A003582" w14:textId="77777777" w:rsidR="001F2599" w:rsidRDefault="001F2599" w:rsidP="001F25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63D31F0" w14:textId="5814C117" w:rsidR="002C16CD" w:rsidRDefault="001F2599" w:rsidP="001F2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lastRenderedPageBreak/>
        <w:t xml:space="preserve">AARP Massachusetts lauds the </w:t>
      </w:r>
      <w:r w:rsidR="00F60896">
        <w:rPr>
          <w:rStyle w:val="normaltextrun"/>
          <w:rFonts w:ascii="Arial" w:eastAsiaTheme="majorEastAsia" w:hAnsi="Arial" w:cs="Arial"/>
          <w:sz w:val="22"/>
          <w:szCs w:val="22"/>
        </w:rPr>
        <w:t>L</w:t>
      </w:r>
      <w:r w:rsidR="00F60896">
        <w:rPr>
          <w:rStyle w:val="normaltextrun"/>
          <w:rFonts w:ascii="Arial" w:eastAsiaTheme="majorEastAsia" w:hAnsi="Arial" w:cs="Arial"/>
          <w:sz w:val="22"/>
          <w:szCs w:val="22"/>
        </w:rPr>
        <w:t>egislature</w:t>
      </w:r>
      <w:r w:rsidR="00F60896">
        <w:rPr>
          <w:rStyle w:val="normaltextrun"/>
          <w:rFonts w:ascii="Arial" w:eastAsiaTheme="majorEastAsia" w:hAnsi="Arial" w:cs="Arial"/>
          <w:sz w:val="22"/>
          <w:szCs w:val="22"/>
        </w:rPr>
        <w:t>’s</w:t>
      </w:r>
      <w:r w:rsidR="00F6089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thoughtful and deliberate work </w:t>
      </w:r>
      <w:r w:rsidR="002C16CD">
        <w:rPr>
          <w:rStyle w:val="normaltextrun"/>
          <w:rFonts w:ascii="Arial" w:eastAsiaTheme="majorEastAsia" w:hAnsi="Arial" w:cs="Arial"/>
          <w:sz w:val="22"/>
          <w:szCs w:val="22"/>
        </w:rPr>
        <w:t>to enhance consumer protections for assisted living residents and their families.</w:t>
      </w:r>
    </w:p>
    <w:p w14:paraId="7D4C5B91" w14:textId="77777777" w:rsidR="002C16CD" w:rsidRDefault="002C16CD" w:rsidP="001F2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4FD5DBA" w14:textId="5CCB4303" w:rsidR="002C16CD" w:rsidRPr="002C16CD" w:rsidRDefault="002C16CD" w:rsidP="001F2599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Thank you.</w:t>
      </w:r>
    </w:p>
    <w:p w14:paraId="28D8FB88" w14:textId="77777777" w:rsidR="006C04DA" w:rsidRDefault="006C04DA"/>
    <w:sectPr w:rsidR="006C0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487"/>
    <w:multiLevelType w:val="multilevel"/>
    <w:tmpl w:val="6AC0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56551"/>
    <w:multiLevelType w:val="multilevel"/>
    <w:tmpl w:val="201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718EA"/>
    <w:multiLevelType w:val="multilevel"/>
    <w:tmpl w:val="F566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A43AB"/>
    <w:multiLevelType w:val="multilevel"/>
    <w:tmpl w:val="E1B4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D5618"/>
    <w:multiLevelType w:val="multilevel"/>
    <w:tmpl w:val="4B9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E5703C"/>
    <w:multiLevelType w:val="multilevel"/>
    <w:tmpl w:val="20F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123634"/>
    <w:multiLevelType w:val="multilevel"/>
    <w:tmpl w:val="6008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F342EB"/>
    <w:multiLevelType w:val="multilevel"/>
    <w:tmpl w:val="04B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6A3851"/>
    <w:multiLevelType w:val="multilevel"/>
    <w:tmpl w:val="8EC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11286B"/>
    <w:multiLevelType w:val="multilevel"/>
    <w:tmpl w:val="9294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242B6"/>
    <w:multiLevelType w:val="multilevel"/>
    <w:tmpl w:val="EE60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A5094C"/>
    <w:multiLevelType w:val="multilevel"/>
    <w:tmpl w:val="C720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EF389D"/>
    <w:multiLevelType w:val="multilevel"/>
    <w:tmpl w:val="29F0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C25425"/>
    <w:multiLevelType w:val="multilevel"/>
    <w:tmpl w:val="CC7A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131D2E"/>
    <w:multiLevelType w:val="multilevel"/>
    <w:tmpl w:val="446A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D67080"/>
    <w:multiLevelType w:val="multilevel"/>
    <w:tmpl w:val="66A0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F85594"/>
    <w:multiLevelType w:val="multilevel"/>
    <w:tmpl w:val="91D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012473"/>
    <w:multiLevelType w:val="multilevel"/>
    <w:tmpl w:val="23F0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0B6140"/>
    <w:multiLevelType w:val="multilevel"/>
    <w:tmpl w:val="3406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8020B3"/>
    <w:multiLevelType w:val="multilevel"/>
    <w:tmpl w:val="506E1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EEE2120"/>
    <w:multiLevelType w:val="multilevel"/>
    <w:tmpl w:val="205E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2B0A72"/>
    <w:multiLevelType w:val="multilevel"/>
    <w:tmpl w:val="ACBA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34A60"/>
    <w:multiLevelType w:val="multilevel"/>
    <w:tmpl w:val="313C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640228"/>
    <w:multiLevelType w:val="multilevel"/>
    <w:tmpl w:val="B8D8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854D9F"/>
    <w:multiLevelType w:val="multilevel"/>
    <w:tmpl w:val="111C9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37646E3"/>
    <w:multiLevelType w:val="multilevel"/>
    <w:tmpl w:val="8F38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B729FD"/>
    <w:multiLevelType w:val="multilevel"/>
    <w:tmpl w:val="33D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436849">
    <w:abstractNumId w:val="3"/>
  </w:num>
  <w:num w:numId="2" w16cid:durableId="169758129">
    <w:abstractNumId w:val="6"/>
  </w:num>
  <w:num w:numId="3" w16cid:durableId="2126265142">
    <w:abstractNumId w:val="10"/>
  </w:num>
  <w:num w:numId="4" w16cid:durableId="612635187">
    <w:abstractNumId w:val="17"/>
  </w:num>
  <w:num w:numId="5" w16cid:durableId="766970378">
    <w:abstractNumId w:val="20"/>
  </w:num>
  <w:num w:numId="6" w16cid:durableId="1774938457">
    <w:abstractNumId w:val="13"/>
  </w:num>
  <w:num w:numId="7" w16cid:durableId="1469779964">
    <w:abstractNumId w:val="16"/>
  </w:num>
  <w:num w:numId="8" w16cid:durableId="2042315127">
    <w:abstractNumId w:val="26"/>
  </w:num>
  <w:num w:numId="9" w16cid:durableId="181280917">
    <w:abstractNumId w:val="7"/>
  </w:num>
  <w:num w:numId="10" w16cid:durableId="1236352416">
    <w:abstractNumId w:val="11"/>
  </w:num>
  <w:num w:numId="11" w16cid:durableId="1926841874">
    <w:abstractNumId w:val="24"/>
  </w:num>
  <w:num w:numId="12" w16cid:durableId="1552694558">
    <w:abstractNumId w:val="19"/>
  </w:num>
  <w:num w:numId="13" w16cid:durableId="1962573472">
    <w:abstractNumId w:val="22"/>
  </w:num>
  <w:num w:numId="14" w16cid:durableId="468015961">
    <w:abstractNumId w:val="1"/>
  </w:num>
  <w:num w:numId="15" w16cid:durableId="136193781">
    <w:abstractNumId w:val="4"/>
  </w:num>
  <w:num w:numId="16" w16cid:durableId="546111851">
    <w:abstractNumId w:val="12"/>
  </w:num>
  <w:num w:numId="17" w16cid:durableId="2051221054">
    <w:abstractNumId w:val="5"/>
  </w:num>
  <w:num w:numId="18" w16cid:durableId="723256691">
    <w:abstractNumId w:val="21"/>
  </w:num>
  <w:num w:numId="19" w16cid:durableId="1147818935">
    <w:abstractNumId w:val="8"/>
  </w:num>
  <w:num w:numId="20" w16cid:durableId="1027029534">
    <w:abstractNumId w:val="23"/>
  </w:num>
  <w:num w:numId="21" w16cid:durableId="740762209">
    <w:abstractNumId w:val="15"/>
  </w:num>
  <w:num w:numId="22" w16cid:durableId="1377782079">
    <w:abstractNumId w:val="2"/>
  </w:num>
  <w:num w:numId="23" w16cid:durableId="643049647">
    <w:abstractNumId w:val="14"/>
  </w:num>
  <w:num w:numId="24" w16cid:durableId="1981575379">
    <w:abstractNumId w:val="0"/>
  </w:num>
  <w:num w:numId="25" w16cid:durableId="701440811">
    <w:abstractNumId w:val="9"/>
  </w:num>
  <w:num w:numId="26" w16cid:durableId="831531763">
    <w:abstractNumId w:val="18"/>
  </w:num>
  <w:num w:numId="27" w16cid:durableId="8878352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9"/>
    <w:rsid w:val="0007108F"/>
    <w:rsid w:val="001F2599"/>
    <w:rsid w:val="002C16CD"/>
    <w:rsid w:val="003E7308"/>
    <w:rsid w:val="00444656"/>
    <w:rsid w:val="00473D38"/>
    <w:rsid w:val="00693843"/>
    <w:rsid w:val="006C04DA"/>
    <w:rsid w:val="00CC0AFD"/>
    <w:rsid w:val="00E671C8"/>
    <w:rsid w:val="00E9453E"/>
    <w:rsid w:val="00F6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2BFD"/>
  <w15:chartTrackingRefBased/>
  <w15:docId w15:val="{82F92E7E-EF7E-478F-B375-2E9358A4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59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F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252469146">
    <w:name w:val="scxw252469146"/>
    <w:basedOn w:val="DefaultParagraphFont"/>
    <w:rsid w:val="001F2599"/>
  </w:style>
  <w:style w:type="character" w:customStyle="1" w:styleId="wacimagecontainer">
    <w:name w:val="wacimagecontainer"/>
    <w:basedOn w:val="DefaultParagraphFont"/>
    <w:rsid w:val="001F2599"/>
  </w:style>
  <w:style w:type="character" w:customStyle="1" w:styleId="eop">
    <w:name w:val="eop"/>
    <w:basedOn w:val="DefaultParagraphFont"/>
    <w:rsid w:val="001F2599"/>
  </w:style>
  <w:style w:type="character" w:customStyle="1" w:styleId="normaltextrun">
    <w:name w:val="normaltextrun"/>
    <w:basedOn w:val="DefaultParagraphFont"/>
    <w:rsid w:val="001F2599"/>
  </w:style>
  <w:style w:type="character" w:customStyle="1" w:styleId="tabchar">
    <w:name w:val="tabchar"/>
    <w:basedOn w:val="DefaultParagraphFont"/>
    <w:rsid w:val="001F2599"/>
  </w:style>
  <w:style w:type="character" w:customStyle="1" w:styleId="nobreakhyphenblob">
    <w:name w:val="nobreakhyphenblob"/>
    <w:basedOn w:val="DefaultParagraphFont"/>
    <w:rsid w:val="001F2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ea6c635b83d2417b4d0c4281e8ebef0b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ccd964b2f40073b0d04ee424fe02906b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7d9e2-e67d-4e78-9623-607caff446f9" xsi:nil="true"/>
    <lcf76f155ced4ddcb4097134ff3c332f xmlns="0bf13305-2ad3-47fc-b32f-9b4df29da98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D66D57-89A5-47B6-AD61-A70B7ECE64B1}"/>
</file>

<file path=customXml/itemProps2.xml><?xml version="1.0" encoding="utf-8"?>
<ds:datastoreItem xmlns:ds="http://schemas.openxmlformats.org/officeDocument/2006/customXml" ds:itemID="{C89CF2F3-0D7C-44D1-8AD7-32EB5A344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EFCBF-C864-4E09-A43F-40D874C0A49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a139858-1ce5-4107-b4a2-af60f1b2ffb0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989c039e-a3a9-45f8-bcc4-a29999e33205"/>
    <ds:schemaRef ds:uri="0452bb0a-1ac3-4d0d-84c3-a8fd74ad0ef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Costantino, Jessica</dc:creator>
  <cp:keywords/>
  <dc:description/>
  <cp:lastModifiedBy>Costantino, Jessica</cp:lastModifiedBy>
  <cp:revision>4</cp:revision>
  <dcterms:created xsi:type="dcterms:W3CDTF">2026-05-04T13:26:00Z</dcterms:created>
  <dcterms:modified xsi:type="dcterms:W3CDTF">2026-05-04T20:35:00Z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  <property fmtid="{D5CDD505-2E9C-101B-9397-08002B2CF9AE}" pid="3" name="MediaServiceImageTags">
    <vt:lpwstr/>
  </property>
</Properties>
</file>