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2C06" w14:textId="77777777" w:rsidR="00F528E6" w:rsidRDefault="00000000">
      <w:pPr>
        <w:suppressLineNumbers/>
        <w:jc w:val="center"/>
      </w:pPr>
      <w:r>
        <w:rPr>
          <w:b/>
          <w:sz w:val="28"/>
        </w:rPr>
        <w:t>Joint Committee on Aging and Independence</w:t>
      </w:r>
    </w:p>
    <w:p w14:paraId="12DBE1EF" w14:textId="77777777" w:rsidR="00F528E6" w:rsidRDefault="00000000">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F528E6" w14:paraId="0697C031" w14:textId="77777777">
        <w:trPr>
          <w:trHeight w:val="540"/>
        </w:trPr>
        <w:tc>
          <w:tcPr>
            <w:tcW w:w="2538" w:type="dxa"/>
          </w:tcPr>
          <w:p w14:paraId="18775C21" w14:textId="77777777" w:rsidR="00F528E6" w:rsidRDefault="00000000">
            <w:r>
              <w:rPr>
                <w:b/>
                <w:u w:val="single"/>
              </w:rPr>
              <w:t>BILL NUMBER</w:t>
            </w:r>
          </w:p>
        </w:tc>
        <w:tc>
          <w:tcPr>
            <w:tcW w:w="7650" w:type="dxa"/>
          </w:tcPr>
          <w:p w14:paraId="36160A59" w14:textId="77777777" w:rsidR="00F528E6" w:rsidRDefault="00000000">
            <w:pPr>
              <w:spacing w:line="240" w:lineRule="auto"/>
            </w:pPr>
            <w:r>
              <w:t>House, No. 5376</w:t>
            </w:r>
          </w:p>
        </w:tc>
      </w:tr>
      <w:tr w:rsidR="00F528E6" w14:paraId="460F85CC" w14:textId="77777777">
        <w:tc>
          <w:tcPr>
            <w:tcW w:w="2538" w:type="dxa"/>
          </w:tcPr>
          <w:p w14:paraId="06B4D2B3" w14:textId="77777777" w:rsidR="00F528E6" w:rsidRDefault="00000000">
            <w:r>
              <w:rPr>
                <w:b/>
                <w:u w:val="single"/>
              </w:rPr>
              <w:t>TITLE</w:t>
            </w:r>
          </w:p>
        </w:tc>
        <w:tc>
          <w:tcPr>
            <w:tcW w:w="7650" w:type="dxa"/>
          </w:tcPr>
          <w:p w14:paraId="6203C7A9" w14:textId="77777777" w:rsidR="00F528E6" w:rsidRDefault="00000000">
            <w:pPr>
              <w:spacing w:after="240"/>
            </w:pPr>
            <w:r>
              <w:t>An Act relative to assisted living residences in the Commonwealth</w:t>
            </w:r>
          </w:p>
        </w:tc>
      </w:tr>
      <w:tr w:rsidR="00F528E6" w14:paraId="08D2297A" w14:textId="77777777">
        <w:tc>
          <w:tcPr>
            <w:tcW w:w="2538" w:type="dxa"/>
          </w:tcPr>
          <w:p w14:paraId="5C8CB00F" w14:textId="77777777" w:rsidR="00F528E6" w:rsidRDefault="00000000">
            <w:pPr>
              <w:spacing w:after="240"/>
            </w:pPr>
            <w:r>
              <w:rPr>
                <w:b/>
                <w:u w:val="single"/>
              </w:rPr>
              <w:t>SPONSORS</w:t>
            </w:r>
          </w:p>
        </w:tc>
        <w:tc>
          <w:tcPr>
            <w:tcW w:w="7650" w:type="dxa"/>
          </w:tcPr>
          <w:p w14:paraId="1C4B1E32" w14:textId="77777777" w:rsidR="00F528E6" w:rsidRDefault="00000000">
            <w:pPr>
              <w:spacing w:after="240"/>
            </w:pPr>
            <w:r>
              <w:t>Representatives Stanley of Waltham and Fiola of Fall River; Senator Jehlen</w:t>
            </w:r>
          </w:p>
        </w:tc>
      </w:tr>
      <w:tr w:rsidR="00F528E6" w14:paraId="61DE6210" w14:textId="77777777">
        <w:trPr>
          <w:trHeight w:val="540"/>
        </w:trPr>
        <w:tc>
          <w:tcPr>
            <w:tcW w:w="2538" w:type="dxa"/>
          </w:tcPr>
          <w:p w14:paraId="018DE179" w14:textId="77777777" w:rsidR="00F528E6" w:rsidRDefault="00000000">
            <w:r>
              <w:rPr>
                <w:b/>
                <w:u w:val="single"/>
              </w:rPr>
              <w:t>HEARING DATE</w:t>
            </w:r>
          </w:p>
        </w:tc>
        <w:tc>
          <w:tcPr>
            <w:tcW w:w="7650" w:type="dxa"/>
          </w:tcPr>
          <w:p w14:paraId="3B0FA29E" w14:textId="77777777" w:rsidR="00F528E6" w:rsidRDefault="00000000">
            <w:r>
              <w:t>Monday, May 11, 2026 at 10:00 AM - 01:00 PM, A-1</w:t>
            </w:r>
          </w:p>
        </w:tc>
      </w:tr>
      <w:tr w:rsidR="00F528E6" w14:paraId="0920854C" w14:textId="77777777">
        <w:tc>
          <w:tcPr>
            <w:tcW w:w="2538" w:type="dxa"/>
          </w:tcPr>
          <w:p w14:paraId="2B64DCE0" w14:textId="77777777" w:rsidR="00F528E6" w:rsidRDefault="00000000">
            <w:pPr>
              <w:spacing w:after="240"/>
              <w:rPr>
                <w:b/>
              </w:rPr>
            </w:pPr>
            <w:r>
              <w:rPr>
                <w:b/>
                <w:u w:val="single"/>
              </w:rPr>
              <w:t>SIMILAR MATTERS</w:t>
            </w:r>
          </w:p>
        </w:tc>
        <w:tc>
          <w:tcPr>
            <w:tcW w:w="7650" w:type="dxa"/>
          </w:tcPr>
          <w:p w14:paraId="577A47C7" w14:textId="77777777" w:rsidR="00F528E6" w:rsidRDefault="00000000">
            <w:pPr>
              <w:spacing w:line="240" w:lineRule="auto"/>
            </w:pPr>
            <w:r>
              <w:t xml:space="preserve">S.3057, An Act relative to assisted living residences in the Commonwealth. </w:t>
            </w:r>
          </w:p>
        </w:tc>
      </w:tr>
      <w:tr w:rsidR="00F528E6" w14:paraId="193F5597" w14:textId="77777777">
        <w:tc>
          <w:tcPr>
            <w:tcW w:w="10188" w:type="dxa"/>
            <w:gridSpan w:val="2"/>
          </w:tcPr>
          <w:p w14:paraId="3FA66C95" w14:textId="77777777" w:rsidR="00F528E6" w:rsidRDefault="00000000">
            <w:pPr>
              <w:spacing w:after="240"/>
            </w:pPr>
            <w:r>
              <w:rPr>
                <w:b/>
                <w:u w:val="single"/>
              </w:rPr>
              <w:t>PRIOR HISTORY</w:t>
            </w:r>
          </w:p>
          <w:p w14:paraId="6EA05DE7" w14:textId="77777777" w:rsidR="00F528E6" w:rsidRDefault="00000000">
            <w:pPr>
              <w:spacing w:line="240" w:lineRule="auto"/>
            </w:pPr>
            <w:r>
              <w:t>None.</w:t>
            </w:r>
          </w:p>
        </w:tc>
      </w:tr>
      <w:tr w:rsidR="00F528E6" w14:paraId="18DB74AB" w14:textId="77777777">
        <w:tc>
          <w:tcPr>
            <w:tcW w:w="10188" w:type="dxa"/>
            <w:gridSpan w:val="2"/>
          </w:tcPr>
          <w:p w14:paraId="2DC34046" w14:textId="77777777" w:rsidR="00F528E6" w:rsidRDefault="00000000">
            <w:pPr>
              <w:spacing w:after="240"/>
            </w:pPr>
            <w:r>
              <w:rPr>
                <w:b/>
                <w:u w:val="single"/>
              </w:rPr>
              <w:t>CURRENT LAW</w:t>
            </w:r>
          </w:p>
          <w:p w14:paraId="36857CAC" w14:textId="77777777" w:rsidR="00F528E6" w:rsidRDefault="00000000">
            <w:pPr>
              <w:spacing w:line="240" w:lineRule="auto"/>
            </w:pPr>
            <w:r>
              <w:t xml:space="preserve">M.G.L. c. 10 governs the Department of the State Treasurer.  </w:t>
            </w:r>
          </w:p>
          <w:p w14:paraId="3A0C91A6" w14:textId="77777777" w:rsidR="00F528E6" w:rsidRDefault="00000000">
            <w:pPr>
              <w:spacing w:line="240" w:lineRule="auto"/>
            </w:pPr>
            <w:r>
              <w:t xml:space="preserve">M.G.L. c. 19D outlines how assisted living residences (ALRs) are classified for regulatory, licensing, zoning, and taxation purposes, ensuring they are treated primarily as residential rather than institutional settings.  </w:t>
            </w:r>
          </w:p>
          <w:p w14:paraId="0F3C6BDE" w14:textId="77777777" w:rsidR="00F528E6" w:rsidRDefault="00000000">
            <w:pPr>
              <w:spacing w:line="240" w:lineRule="auto"/>
            </w:pPr>
            <w:r>
              <w:t xml:space="preserve">Section 1 provides definitions.  </w:t>
            </w:r>
          </w:p>
          <w:p w14:paraId="1C02DFF8" w14:textId="77777777" w:rsidR="00F528E6" w:rsidRDefault="00000000">
            <w:pPr>
              <w:spacing w:line="240" w:lineRule="auto"/>
            </w:pPr>
            <w:r>
              <w:t xml:space="preserve">Section 4 outlines the application for certification, renewal, fee, operating plan, and basic health services.  </w:t>
            </w:r>
          </w:p>
          <w:p w14:paraId="3556E90A" w14:textId="77777777" w:rsidR="00F528E6" w:rsidRDefault="00000000">
            <w:pPr>
              <w:spacing w:line="240" w:lineRule="auto"/>
            </w:pPr>
            <w:r>
              <w:t xml:space="preserve">Section 6 outlines the denial, suspension, or revocation of certification.  </w:t>
            </w:r>
          </w:p>
          <w:p w14:paraId="6236E418" w14:textId="77777777" w:rsidR="00F528E6" w:rsidRDefault="00000000">
            <w:pPr>
              <w:spacing w:line="240" w:lineRule="auto"/>
            </w:pPr>
            <w:r>
              <w:t xml:space="preserve">Section 8 outlines operating without certification and penalties.   </w:t>
            </w:r>
          </w:p>
          <w:p w14:paraId="6ED96726" w14:textId="77777777" w:rsidR="00F528E6" w:rsidRDefault="00000000">
            <w:pPr>
              <w:spacing w:line="240" w:lineRule="auto"/>
            </w:pPr>
            <w:r>
              <w:t xml:space="preserve">M.G.L. c. 111 governs public health including regulation and oversight of hospitals, nursing facilities, and similar initiatives.  </w:t>
            </w:r>
          </w:p>
          <w:p w14:paraId="2557155E" w14:textId="77777777" w:rsidR="00F528E6" w:rsidRDefault="00000000">
            <w:pPr>
              <w:spacing w:line="240" w:lineRule="auto"/>
            </w:pPr>
            <w:r>
              <w:t xml:space="preserve">Section 72W1/.2 outlines the certification, training and oversight of certified medication aides. </w:t>
            </w:r>
          </w:p>
        </w:tc>
      </w:tr>
      <w:tr w:rsidR="00F528E6" w14:paraId="0483BD60" w14:textId="77777777">
        <w:tc>
          <w:tcPr>
            <w:tcW w:w="10188" w:type="dxa"/>
            <w:gridSpan w:val="2"/>
          </w:tcPr>
          <w:p w14:paraId="36177C78" w14:textId="77777777" w:rsidR="00F528E6" w:rsidRDefault="00000000">
            <w:pPr>
              <w:keepNext/>
              <w:keepLines/>
              <w:spacing w:after="240"/>
            </w:pPr>
            <w:r>
              <w:rPr>
                <w:b/>
                <w:u w:val="single"/>
              </w:rPr>
              <w:lastRenderedPageBreak/>
              <w:t>SUMMARY</w:t>
            </w:r>
          </w:p>
          <w:p w14:paraId="3E0ED1D9" w14:textId="77777777" w:rsidR="00F528E6" w:rsidRDefault="00000000">
            <w:pPr>
              <w:spacing w:line="240" w:lineRule="auto"/>
            </w:pPr>
            <w:r>
              <w:t xml:space="preserve">H.5376 incorporates several recommendations from the Assisted Living Commission’s final report that require statutory changes: </w:t>
            </w:r>
          </w:p>
          <w:p w14:paraId="59954BE5" w14:textId="77777777" w:rsidR="00F528E6" w:rsidRDefault="00000000">
            <w:pPr>
              <w:spacing w:line="240" w:lineRule="auto"/>
            </w:pPr>
            <w:r>
              <w:t xml:space="preserve">1) Establishes the Assisted Living Residences Trust Fund and allows for the Executive Office of Aging and Independence (AGE) to use monies from the fund to support the                               agency’s assisted living certification unit with additional staffing to conduct compliance reviews, incident investigations, etc.  </w:t>
            </w:r>
          </w:p>
          <w:p w14:paraId="4F8D76C5" w14:textId="77777777" w:rsidR="00F528E6" w:rsidRDefault="00000000">
            <w:pPr>
              <w:spacing w:line="240" w:lineRule="auto"/>
            </w:pPr>
            <w:r>
              <w:t xml:space="preserve">2) Allows certified medication aides (CMA), a certified nursing assistant (CNA) with specialized training and authorization to administer non-narcotine medications to residents of nursing homes, to practice in assisted living residences </w:t>
            </w:r>
          </w:p>
          <w:p w14:paraId="01123099" w14:textId="77777777" w:rsidR="00F528E6" w:rsidRDefault="00000000">
            <w:pPr>
              <w:spacing w:line="240" w:lineRule="auto"/>
            </w:pPr>
            <w:r>
              <w:t xml:space="preserve">3) Establishes a task force to study and make recommendations on creating and improving access to affordable assisted living residences in the Commonwealth </w:t>
            </w:r>
          </w:p>
          <w:p w14:paraId="31DF0692" w14:textId="77777777" w:rsidR="00F528E6" w:rsidRDefault="00000000">
            <w:pPr>
              <w:spacing w:line="240" w:lineRule="auto"/>
            </w:pPr>
            <w:r>
              <w:t xml:space="preserve">SECTION-BY-SECTION SUMMARY </w:t>
            </w:r>
          </w:p>
          <w:p w14:paraId="540BD03A" w14:textId="77777777" w:rsidR="00F528E6" w:rsidRDefault="00000000">
            <w:pPr>
              <w:spacing w:line="240" w:lineRule="auto"/>
            </w:pPr>
            <w:r>
              <w:t xml:space="preserve">SECTION 1 creates a new section, Section 35UUU within M.G.L. c 10.  </w:t>
            </w:r>
          </w:p>
          <w:p w14:paraId="64402775" w14:textId="77777777" w:rsidR="00F528E6" w:rsidRDefault="00000000">
            <w:pPr>
              <w:spacing w:line="240" w:lineRule="auto"/>
            </w:pPr>
            <w:r>
              <w:t xml:space="preserve">Subsection (a) establishes the Assisted Living Residences Trust Fund, administered by the Secretary of Aging and Independence and allows the fund to pay for:  </w:t>
            </w:r>
          </w:p>
          <w:p w14:paraId="0C36A8B2" w14:textId="77777777" w:rsidR="00F528E6" w:rsidRDefault="00000000">
            <w:pPr>
              <w:spacing w:line="240" w:lineRule="auto"/>
            </w:pPr>
            <w:r>
              <w:t xml:space="preserve">(i) assisted living certification unit staffing </w:t>
            </w:r>
          </w:p>
          <w:p w14:paraId="27F26B70" w14:textId="77777777" w:rsidR="00F528E6" w:rsidRDefault="00000000">
            <w:pPr>
              <w:spacing w:line="240" w:lineRule="auto"/>
            </w:pPr>
            <w:r>
              <w:t xml:space="preserve">(ii) assisted living certification compliance reviews </w:t>
            </w:r>
          </w:p>
          <w:p w14:paraId="1A107910" w14:textId="77777777" w:rsidR="00F528E6" w:rsidRDefault="00000000">
            <w:pPr>
              <w:spacing w:line="240" w:lineRule="auto"/>
            </w:pPr>
            <w:r>
              <w:t xml:space="preserve">(iii) assisted living complaint and incident investigations </w:t>
            </w:r>
          </w:p>
          <w:p w14:paraId="05011855" w14:textId="77777777" w:rsidR="00F528E6" w:rsidRDefault="00000000">
            <w:pPr>
              <w:spacing w:line="240" w:lineRule="auto"/>
            </w:pPr>
            <w:r>
              <w:t xml:space="preserve">(iv) ombudsman services for residents of assisted living and residents’ families </w:t>
            </w:r>
          </w:p>
          <w:p w14:paraId="160F2D3A" w14:textId="77777777" w:rsidR="00F528E6" w:rsidRDefault="00000000">
            <w:pPr>
              <w:spacing w:line="240" w:lineRule="auto"/>
            </w:pPr>
            <w:r>
              <w:t xml:space="preserve">(v) maintaining public-facing data, reporting and accountability measures </w:t>
            </w:r>
          </w:p>
          <w:p w14:paraId="5F46D453" w14:textId="77777777" w:rsidR="00F528E6" w:rsidRDefault="00000000">
            <w:pPr>
              <w:spacing w:line="240" w:lineRule="auto"/>
            </w:pPr>
            <w:r>
              <w:t xml:space="preserve">(vi) managing appeals of findings and fines </w:t>
            </w:r>
          </w:p>
          <w:p w14:paraId="3B4C4E37" w14:textId="77777777" w:rsidR="00F528E6" w:rsidRDefault="00000000">
            <w:pPr>
              <w:spacing w:line="240" w:lineRule="auto"/>
            </w:pPr>
            <w:r>
              <w:t xml:space="preserve">(vii) oversight enhancements </w:t>
            </w:r>
          </w:p>
          <w:p w14:paraId="79617A8E" w14:textId="77777777" w:rsidR="00F528E6" w:rsidRDefault="00000000">
            <w:pPr>
              <w:spacing w:line="240" w:lineRule="auto"/>
            </w:pPr>
            <w:r>
              <w:t xml:space="preserve">Subsection (b) outlines the funding sources for the ALR Trust Fun, including:  </w:t>
            </w:r>
          </w:p>
          <w:p w14:paraId="2BA78CFA" w14:textId="77777777" w:rsidR="00F528E6" w:rsidRDefault="00000000">
            <w:pPr>
              <w:spacing w:line="240" w:lineRule="auto"/>
            </w:pPr>
            <w:r>
              <w:t xml:space="preserve">(i) any revenues collected from certification application and renewal fees under subsection (b) of section 4 of chapter 19D </w:t>
            </w:r>
          </w:p>
          <w:p w14:paraId="55D8222B" w14:textId="77777777" w:rsidR="00F528E6" w:rsidRDefault="00000000">
            <w:pPr>
              <w:spacing w:line="240" w:lineRule="auto"/>
            </w:pPr>
            <w:r>
              <w:t xml:space="preserve">(ii) any revenues collected from fines under clause (iii) of subsection (a) of section 6 of said chapter 19D </w:t>
            </w:r>
          </w:p>
          <w:p w14:paraId="5FA3B32C" w14:textId="77777777" w:rsidR="00F528E6" w:rsidRDefault="00000000">
            <w:pPr>
              <w:spacing w:line="240" w:lineRule="auto"/>
            </w:pPr>
            <w:r>
              <w:t xml:space="preserve">(iii) any revenues or other financing sources directed to the fund by appropriation </w:t>
            </w:r>
          </w:p>
          <w:p w14:paraId="261D79E0" w14:textId="77777777" w:rsidR="00F528E6" w:rsidRDefault="00000000">
            <w:pPr>
              <w:spacing w:line="240" w:lineRule="auto"/>
            </w:pPr>
            <w:r>
              <w:t xml:space="preserve">(iv) any amount recovered by the commonwealth and credited thereto in connection with civil actions brought pursuant to section 8 of said chapter 19D </w:t>
            </w:r>
          </w:p>
          <w:p w14:paraId="53D94683" w14:textId="77777777" w:rsidR="00F528E6" w:rsidRDefault="00000000">
            <w:pPr>
              <w:spacing w:line="240" w:lineRule="auto"/>
            </w:pPr>
            <w:r>
              <w:t xml:space="preserve">(v) bond revenues or other money authorized by the general court and specifically designated to be </w:t>
            </w:r>
            <w:r>
              <w:lastRenderedPageBreak/>
              <w:t xml:space="preserve">credited to the fund </w:t>
            </w:r>
          </w:p>
          <w:p w14:paraId="5172FC03" w14:textId="77777777" w:rsidR="00F528E6" w:rsidRDefault="00000000">
            <w:pPr>
              <w:spacing w:line="240" w:lineRule="auto"/>
            </w:pPr>
            <w:r>
              <w:t xml:space="preserve">(vi) any income derived from the investment of amounts credited to the fund or repayment of loans from the fund </w:t>
            </w:r>
          </w:p>
          <w:p w14:paraId="433AD28F" w14:textId="77777777" w:rsidR="00F528E6" w:rsidRDefault="00000000">
            <w:pPr>
              <w:spacing w:line="240" w:lineRule="auto"/>
            </w:pPr>
            <w:r>
              <w:t xml:space="preserve">(vii) funds from public or private sources, including, but not limited to, gifts, federal or private grants, donations, rebates and settlements received by the commonwealth that are specifically designated to be credited to the fund </w:t>
            </w:r>
          </w:p>
          <w:p w14:paraId="42AC9F20" w14:textId="77777777" w:rsidR="00F528E6" w:rsidRDefault="00000000">
            <w:pPr>
              <w:spacing w:line="240" w:lineRule="auto"/>
            </w:pPr>
            <w:r>
              <w:t xml:space="preserve">(viii) all other amounts credited or transferred into the fund from any other source </w:t>
            </w:r>
          </w:p>
          <w:p w14:paraId="73616D08" w14:textId="77777777" w:rsidR="00F528E6" w:rsidRDefault="00000000">
            <w:pPr>
              <w:spacing w:line="240" w:lineRule="auto"/>
            </w:pPr>
            <w:r>
              <w:t xml:space="preserve">(ix) prohibits any balances in the fund at the end of the fiscal from reverting to the General Fund, requiring them to be available for expenditures in future fiscal years </w:t>
            </w:r>
          </w:p>
          <w:p w14:paraId="7BA0C703" w14:textId="77777777" w:rsidR="00F528E6" w:rsidRDefault="00000000">
            <w:pPr>
              <w:spacing w:line="240" w:lineRule="auto"/>
            </w:pPr>
            <w:r>
              <w:t xml:space="preserve">SECTION 2 amends section 4 of M.G.L. 19D by adding subsection (i) requiring all certification application and renewal fees collected under Section 4 to be deposited into the Assisted Living Residences Trust Fund.  </w:t>
            </w:r>
          </w:p>
          <w:p w14:paraId="61FFA8B6" w14:textId="77777777" w:rsidR="00F528E6" w:rsidRDefault="00000000">
            <w:pPr>
              <w:spacing w:line="240" w:lineRule="auto"/>
            </w:pPr>
            <w:r>
              <w:t xml:space="preserve">SECTION 3 amends section 6 of M.G.L. 19D by adding subsection (c) requiring all fines collected pursuant under Section 6 to be deposited into the Assisted Living Residences Trust Fund. </w:t>
            </w:r>
          </w:p>
          <w:p w14:paraId="27F83A3E" w14:textId="77777777" w:rsidR="00F528E6" w:rsidRDefault="00000000">
            <w:pPr>
              <w:spacing w:line="240" w:lineRule="auto"/>
            </w:pPr>
            <w:r>
              <w:t xml:space="preserve">SECTION 4 amends section 8 of M.G.L. 19D by adding subsection (c) requiring all civil penalties collected under Section 8 shall be deposited into the Assisted Living Residences Trust Fund.  </w:t>
            </w:r>
          </w:p>
          <w:p w14:paraId="78DF141E" w14:textId="77777777" w:rsidR="00F528E6" w:rsidRDefault="00000000">
            <w:pPr>
              <w:spacing w:line="240" w:lineRule="auto"/>
            </w:pPr>
            <w:r>
              <w:t xml:space="preserve">SECTION 5 amends subsection (a) of section 72W1/2 of M.G.L. 111 by adding “assisted living residences” to the definition of “Certified Medication Aides”. </w:t>
            </w:r>
          </w:p>
          <w:p w14:paraId="2113BA90" w14:textId="77777777" w:rsidR="00F528E6" w:rsidRDefault="00000000">
            <w:pPr>
              <w:spacing w:line="240" w:lineRule="auto"/>
            </w:pPr>
            <w:r>
              <w:t xml:space="preserve">SECTION 6 amends subsection (b) of section 72W1/2 of M.G.K. 111 by adding “assisted living residences” to the CMA program developed by the Department of Public Health (DPH). </w:t>
            </w:r>
          </w:p>
          <w:p w14:paraId="0CE8DCF0" w14:textId="77777777" w:rsidR="00F528E6" w:rsidRDefault="00000000">
            <w:pPr>
              <w:spacing w:line="240" w:lineRule="auto"/>
            </w:pPr>
            <w:r>
              <w:t xml:space="preserve">SECTION 7, subsection (a) establishes a task force to study and make recommendations on creating and improving access to affordable assisted living residences in Massachusetts and requires the task force to meet at least 5 times and hold at least 1 public hearing.   </w:t>
            </w:r>
          </w:p>
          <w:p w14:paraId="5C70A69F" w14:textId="77777777" w:rsidR="00F528E6" w:rsidRDefault="00000000">
            <w:pPr>
              <w:spacing w:line="240" w:lineRule="auto"/>
            </w:pPr>
            <w:r>
              <w:t xml:space="preserve">Subsection (b) requires that the task force consist of the following 18 members: </w:t>
            </w:r>
          </w:p>
          <w:p w14:paraId="68B50DE2" w14:textId="77777777" w:rsidR="00F528E6" w:rsidRDefault="00000000">
            <w:pPr>
              <w:spacing w:line="240" w:lineRule="auto"/>
            </w:pPr>
            <w:r>
              <w:t xml:space="preserve">1) Secretary of AGE (Chair) </w:t>
            </w:r>
          </w:p>
          <w:p w14:paraId="04E27511" w14:textId="77777777" w:rsidR="00F528E6" w:rsidRDefault="00000000">
            <w:pPr>
              <w:spacing w:line="240" w:lineRule="auto"/>
            </w:pPr>
            <w:r>
              <w:t xml:space="preserve">2) Secretary of Housing and Livable Communities </w:t>
            </w:r>
          </w:p>
          <w:p w14:paraId="7EB1B81B" w14:textId="77777777" w:rsidR="00F528E6" w:rsidRDefault="00000000">
            <w:pPr>
              <w:spacing w:line="240" w:lineRule="auto"/>
            </w:pPr>
            <w:r>
              <w:t xml:space="preserve">3) MassHealth Assistant Secretary  </w:t>
            </w:r>
          </w:p>
          <w:p w14:paraId="02F0E716" w14:textId="77777777" w:rsidR="00F528E6" w:rsidRDefault="00000000">
            <w:pPr>
              <w:spacing w:line="240" w:lineRule="auto"/>
            </w:pPr>
            <w:r>
              <w:t xml:space="preserve">4) DPH Commissioners </w:t>
            </w:r>
          </w:p>
          <w:p w14:paraId="6EDDF375" w14:textId="77777777" w:rsidR="00F528E6" w:rsidRDefault="00000000">
            <w:pPr>
              <w:spacing w:line="240" w:lineRule="auto"/>
            </w:pPr>
            <w:r>
              <w:t xml:space="preserve">5) House and Senate Chairs of the Joint Committee on Aging and Independence </w:t>
            </w:r>
          </w:p>
          <w:p w14:paraId="53D1BFBF" w14:textId="77777777" w:rsidR="00F528E6" w:rsidRDefault="00000000">
            <w:pPr>
              <w:spacing w:line="240" w:lineRule="auto"/>
            </w:pPr>
            <w:r>
              <w:t xml:space="preserve">6) House Minority Leader appointee </w:t>
            </w:r>
          </w:p>
          <w:p w14:paraId="30B5F70D" w14:textId="77777777" w:rsidR="00F528E6" w:rsidRDefault="00000000">
            <w:pPr>
              <w:spacing w:line="240" w:lineRule="auto"/>
            </w:pPr>
            <w:r>
              <w:t xml:space="preserve">7) Senate Minority Leaders appointee </w:t>
            </w:r>
          </w:p>
          <w:p w14:paraId="4FD38071" w14:textId="77777777" w:rsidR="00F528E6" w:rsidRDefault="00000000">
            <w:pPr>
              <w:spacing w:line="240" w:lineRule="auto"/>
            </w:pPr>
            <w:r>
              <w:t xml:space="preserve">8) Massachusetts Housing Finance Agency </w:t>
            </w:r>
          </w:p>
          <w:p w14:paraId="7FF35D44" w14:textId="77777777" w:rsidR="00F528E6" w:rsidRDefault="00000000">
            <w:pPr>
              <w:spacing w:line="240" w:lineRule="auto"/>
            </w:pPr>
            <w:r>
              <w:lastRenderedPageBreak/>
              <w:t xml:space="preserve">9) Community Economic Development Assistance Corporation  </w:t>
            </w:r>
          </w:p>
          <w:p w14:paraId="364E0153" w14:textId="77777777" w:rsidR="00F528E6" w:rsidRDefault="00000000">
            <w:pPr>
              <w:spacing w:line="240" w:lineRule="auto"/>
            </w:pPr>
            <w:r>
              <w:t xml:space="preserve">10) Massachusetts Aging Access Association, Inc. </w:t>
            </w:r>
          </w:p>
          <w:p w14:paraId="69959E4C" w14:textId="77777777" w:rsidR="00F528E6" w:rsidRDefault="00000000">
            <w:pPr>
              <w:spacing w:line="240" w:lineRule="auto"/>
            </w:pPr>
            <w:r>
              <w:t xml:space="preserve">11) MassPACE, Inc. </w:t>
            </w:r>
          </w:p>
          <w:p w14:paraId="2BE6BEF3" w14:textId="77777777" w:rsidR="00F528E6" w:rsidRDefault="00000000">
            <w:pPr>
              <w:spacing w:line="240" w:lineRule="auto"/>
            </w:pPr>
            <w:r>
              <w:t xml:space="preserve">12) LeadingAge Massachusetts, Inc. </w:t>
            </w:r>
          </w:p>
          <w:p w14:paraId="4E3834FC" w14:textId="77777777" w:rsidR="00F528E6" w:rsidRDefault="00000000">
            <w:pPr>
              <w:spacing w:line="240" w:lineRule="auto"/>
            </w:pPr>
            <w:r>
              <w:t xml:space="preserve">13) Massachusetts Assisted Living Association, Inc. </w:t>
            </w:r>
          </w:p>
          <w:p w14:paraId="5D55970A" w14:textId="77777777" w:rsidR="00F528E6" w:rsidRDefault="00000000">
            <w:pPr>
              <w:spacing w:line="240" w:lineRule="auto"/>
            </w:pPr>
            <w:r>
              <w:t xml:space="preserve">14) Massachusetts Senior Care Association, Inc. </w:t>
            </w:r>
          </w:p>
          <w:p w14:paraId="37903F43" w14:textId="77777777" w:rsidR="00F528E6" w:rsidRDefault="00000000">
            <w:pPr>
              <w:spacing w:line="240" w:lineRule="auto"/>
            </w:pPr>
            <w:r>
              <w:t>15) 4 members to be appointed by the governor:</w:t>
            </w:r>
          </w:p>
          <w:p w14:paraId="33D7C502" w14:textId="77777777" w:rsidR="00F528E6" w:rsidRDefault="00000000">
            <w:pPr>
              <w:spacing w:line="240" w:lineRule="auto"/>
            </w:pPr>
            <w:r>
              <w:t xml:space="preserve">       a) Expert in developing affordable assisted living residences </w:t>
            </w:r>
          </w:p>
          <w:p w14:paraId="77ADA521" w14:textId="77777777" w:rsidR="00F528E6" w:rsidRDefault="00000000">
            <w:pPr>
              <w:spacing w:line="240" w:lineRule="auto"/>
            </w:pPr>
            <w:r>
              <w:t xml:space="preserve">       b) Expert in operating affordable assisted living residences </w:t>
            </w:r>
          </w:p>
          <w:p w14:paraId="5BA4E729" w14:textId="77777777" w:rsidR="00F528E6" w:rsidRDefault="00000000">
            <w:pPr>
              <w:spacing w:line="240" w:lineRule="auto"/>
            </w:pPr>
            <w:r>
              <w:t xml:space="preserve">       c) Member of an organization that represents low-income tenants </w:t>
            </w:r>
          </w:p>
          <w:p w14:paraId="6044F99E" w14:textId="77777777" w:rsidR="00F528E6" w:rsidRDefault="00000000">
            <w:pPr>
              <w:spacing w:line="240" w:lineRule="auto"/>
            </w:pPr>
            <w:r>
              <w:t xml:space="preserve">       d) Resident or a family member of a resident of an ALR </w:t>
            </w:r>
          </w:p>
          <w:p w14:paraId="5129078D" w14:textId="77777777" w:rsidR="00F528E6" w:rsidRDefault="00000000">
            <w:pPr>
              <w:spacing w:line="240" w:lineRule="auto"/>
            </w:pPr>
            <w:r>
              <w:t xml:space="preserve">Subsection (c) requires the task force to consider the following matters:  </w:t>
            </w:r>
          </w:p>
          <w:p w14:paraId="2E138E4E" w14:textId="77777777" w:rsidR="00F528E6" w:rsidRDefault="00000000">
            <w:pPr>
              <w:spacing w:line="240" w:lineRule="auto"/>
            </w:pPr>
            <w:r>
              <w:t xml:space="preserve">(i) creating an operational definition of an “affordable assisted living residence” </w:t>
            </w:r>
          </w:p>
          <w:p w14:paraId="3F471742" w14:textId="77777777" w:rsidR="00F528E6" w:rsidRDefault="00000000">
            <w:pPr>
              <w:spacing w:line="240" w:lineRule="auto"/>
            </w:pPr>
            <w:r>
              <w:t xml:space="preserve">(ii) identifying the target population and service needs of qualifying residences </w:t>
            </w:r>
          </w:p>
          <w:p w14:paraId="25541F69" w14:textId="77777777" w:rsidR="00F528E6" w:rsidRDefault="00000000">
            <w:pPr>
              <w:spacing w:line="240" w:lineRule="auto"/>
            </w:pPr>
            <w:r>
              <w:t xml:space="preserve">(iii) creating a current inventory of qualifying residences </w:t>
            </w:r>
          </w:p>
          <w:p w14:paraId="2745D038" w14:textId="77777777" w:rsidR="00F528E6" w:rsidRDefault="00000000">
            <w:pPr>
              <w:spacing w:line="240" w:lineRule="auto"/>
            </w:pPr>
            <w:r>
              <w:t xml:space="preserve">(iv) assessing the service, housing, and operational costs of qualifying residences </w:t>
            </w:r>
          </w:p>
          <w:p w14:paraId="3C51BC5A" w14:textId="77777777" w:rsidR="00F528E6" w:rsidRDefault="00000000">
            <w:pPr>
              <w:spacing w:line="240" w:lineRule="auto"/>
            </w:pPr>
            <w:r>
              <w:t xml:space="preserve">(v) identifying and evaluating any gaps in the continuum of care for older adults </w:t>
            </w:r>
          </w:p>
          <w:p w14:paraId="26B39187" w14:textId="77777777" w:rsidR="00F528E6" w:rsidRDefault="00000000">
            <w:pPr>
              <w:spacing w:line="240" w:lineRule="auto"/>
            </w:pPr>
            <w:r>
              <w:t xml:space="preserve">(vi) estimating statewide need for qualifying residences </w:t>
            </w:r>
          </w:p>
          <w:p w14:paraId="51E2B0CC" w14:textId="77777777" w:rsidR="00F528E6" w:rsidRDefault="00000000">
            <w:pPr>
              <w:spacing w:line="240" w:lineRule="auto"/>
            </w:pPr>
            <w:r>
              <w:t xml:space="preserve">(vii) recommending sustainable “housing plus services” financing models for qualifying residences </w:t>
            </w:r>
          </w:p>
          <w:p w14:paraId="00A56A44" w14:textId="77777777" w:rsidR="00F528E6" w:rsidRDefault="00000000">
            <w:pPr>
              <w:spacing w:line="240" w:lineRule="auto"/>
            </w:pPr>
            <w:r>
              <w:t xml:space="preserve">(viii) reviewing the financing and affordability models for the defined population in other settings </w:t>
            </w:r>
          </w:p>
          <w:p w14:paraId="64EA523F" w14:textId="77777777" w:rsidR="00F528E6" w:rsidRDefault="00000000">
            <w:pPr>
              <w:spacing w:line="240" w:lineRule="auto"/>
            </w:pPr>
            <w:r>
              <w:t xml:space="preserve">(ix) studying financing and affordability models for the defined population in other states </w:t>
            </w:r>
          </w:p>
          <w:p w14:paraId="0C6226CA" w14:textId="77777777" w:rsidR="00F528E6" w:rsidRDefault="00000000">
            <w:pPr>
              <w:spacing w:line="240" w:lineRule="auto"/>
            </w:pPr>
            <w:r>
              <w:t xml:space="preserve">(x) reviewing Medicaid supported options and subsidized housing options </w:t>
            </w:r>
          </w:p>
          <w:p w14:paraId="2C76C18A" w14:textId="77777777" w:rsidR="00F528E6" w:rsidRDefault="00000000">
            <w:pPr>
              <w:spacing w:line="240" w:lineRule="auto"/>
            </w:pPr>
            <w:r>
              <w:t xml:space="preserve">(xi) establishing a feasible affordability model for assisted living residences in commonwealth. </w:t>
            </w:r>
          </w:p>
          <w:p w14:paraId="62EBA0C6" w14:textId="77777777" w:rsidR="00F528E6" w:rsidRDefault="00000000">
            <w:pPr>
              <w:spacing w:line="240" w:lineRule="auto"/>
            </w:pPr>
            <w:r>
              <w:t xml:space="preserve">Subsection (d) requires the task force to submit a report of its findings, including any recommendations or proposed legislation necessary to carry out its recommendations, to the Clerks of the Senate and House of Representatives, the Joint Committee on Aging and Independence, and the Senate and House Committees on Ways and Means, not later than December 31, 2027. </w:t>
            </w:r>
          </w:p>
        </w:tc>
      </w:tr>
    </w:tbl>
    <w:p w14:paraId="4D04BF80" w14:textId="77777777" w:rsidR="00F528E6" w:rsidRDefault="00F528E6"/>
    <w:sectPr w:rsidR="00F528E6"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AC00" w14:textId="77777777" w:rsidR="00524134" w:rsidRDefault="00524134">
      <w:pPr>
        <w:spacing w:after="0" w:line="240" w:lineRule="auto"/>
      </w:pPr>
      <w:r>
        <w:separator/>
      </w:r>
    </w:p>
  </w:endnote>
  <w:endnote w:type="continuationSeparator" w:id="0">
    <w:p w14:paraId="51D5CEBB" w14:textId="77777777" w:rsidR="00524134" w:rsidRDefault="005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046A" w14:textId="0EA23314" w:rsidR="00000000" w:rsidRDefault="00000000" w:rsidP="00F313D9">
    <w:pPr>
      <w:jc w:val="center"/>
    </w:pPr>
    <w:r>
      <w:fldChar w:fldCharType="begin"/>
    </w:r>
    <w:r>
      <w:instrText xml:space="preserve"> PAGE   \* MERGEFORMAT </w:instrText>
    </w:r>
    <w:r>
      <w:fldChar w:fldCharType="separate"/>
    </w:r>
    <w:r w:rsidR="00ED1F5D">
      <w:rPr>
        <w:noProof/>
      </w:rPr>
      <w:t>1</w:t>
    </w:r>
    <w:r>
      <w:fldChar w:fldCharType="end"/>
    </w:r>
    <w:r>
      <w:t xml:space="preserve"> of </w:t>
    </w:r>
    <w:r>
      <w:fldChar w:fldCharType="begin"/>
    </w:r>
    <w:r>
      <w:instrText xml:space="preserve"> SECTIONPAGES   \* MERGEFORMAT </w:instrText>
    </w:r>
    <w:r>
      <w:fldChar w:fldCharType="separate"/>
    </w:r>
    <w:r w:rsidR="00ED1F5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0392" w14:textId="77777777" w:rsidR="00524134" w:rsidRDefault="00524134">
      <w:pPr>
        <w:spacing w:after="0" w:line="240" w:lineRule="auto"/>
      </w:pPr>
      <w:r>
        <w:separator/>
      </w:r>
    </w:p>
  </w:footnote>
  <w:footnote w:type="continuationSeparator" w:id="0">
    <w:p w14:paraId="2E1B3E51" w14:textId="77777777" w:rsidR="00524134" w:rsidRDefault="005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7090607">
    <w:abstractNumId w:val="0"/>
  </w:num>
  <w:num w:numId="2" w16cid:durableId="151331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507E7"/>
    <w:rsid w:val="002F70E8"/>
    <w:rsid w:val="003F32E1"/>
    <w:rsid w:val="003F483C"/>
    <w:rsid w:val="004F1BC6"/>
    <w:rsid w:val="00524134"/>
    <w:rsid w:val="00840086"/>
    <w:rsid w:val="008C7F7F"/>
    <w:rsid w:val="00AC4313"/>
    <w:rsid w:val="00C56B1A"/>
    <w:rsid w:val="00D2418C"/>
    <w:rsid w:val="00DD5F18"/>
    <w:rsid w:val="00ED1F5D"/>
    <w:rsid w:val="00F5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F738"/>
  <w15:docId w15:val="{4DAD0677-158D-484A-9092-CD25EE92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ea6c635b83d2417b4d0c4281e8ebef0b">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ccd964b2f40073b0d04ee424fe02906b"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 ds:uri="http://schemas.microsoft.com/sharepoint/v3"/>
    <ds:schemaRef ds:uri="0bf13305-2ad3-47fc-b32f-9b4df29da98c"/>
    <ds:schemaRef ds:uri="http://schemas.microsoft.com/office/infopath/2007/PartnerControls"/>
    <ds:schemaRef ds:uri="e847d9e2-e67d-4e78-9623-607caff446f9"/>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1D9D97CA-32AF-4BAC-9DD1-1A4CA3D30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6513</Characters>
  <Application>Microsoft Office Word</Application>
  <DocSecurity>0</DocSecurity>
  <Lines>54</Lines>
  <Paragraphs>15</Paragraphs>
  <ScaleCrop>false</ScaleCrop>
  <Company>MA Legislature</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Nathan, Bobbie (HOU)</cp:lastModifiedBy>
  <cp:revision>2</cp:revision>
  <dcterms:created xsi:type="dcterms:W3CDTF">2026-04-29T18:58:00Z</dcterms:created>
  <dcterms:modified xsi:type="dcterms:W3CDTF">2026-04-29T18:58:00Z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