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5433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regulating the use of fertilizer in the town of Wellfleet</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Luddy</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17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F">
            <w:pPr>
              <w:spacing w:after="0" w:before="0" w:lineRule="auto"/>
              <w:rPr>
                <w:rFonts w:ascii="Times New Roman" w:cs="Times New Roman" w:eastAsia="Times New Roman" w:hAnsi="Times New Roman"/>
                <w:sz w:val="12"/>
                <w:szCs w:val="12"/>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prohibits the application of fertilizer containing nitrogen, phosphorus, or any other pollutants in the town of Wellfleet, except in cases of commercial agricultural use or residential organic fertilizer use.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only takes effect provided there are no General or Special Laws to the contrary, including any General or Special Law conferring exclusive authority upon the Department of Agriculture to regulate and control the application of fertilizers elsewhere in the Commonwealth.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