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480"/>
        <w:tblGridChange w:id="0">
          <w:tblGrid>
            <w:gridCol w:w="2865"/>
            <w:gridCol w:w="648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5433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regulating the use of fertilizer in the town of Wellfleet</w:t>
            </w:r>
          </w:p>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Luddy</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17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p w:rsidR="00000000" w:rsidDel="00000000" w:rsidP="00000000" w:rsidRDefault="00000000" w:rsidRPr="00000000" w14:paraId="0000000F">
            <w:pPr>
              <w:spacing w:after="0" w:before="0" w:lineRule="auto"/>
              <w:rPr>
                <w:rFonts w:ascii="Times New Roman" w:cs="Times New Roman" w:eastAsia="Times New Roman" w:hAnsi="Times New Roman"/>
                <w:sz w:val="12"/>
                <w:szCs w:val="12"/>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prohibits the application of fertilizer containing nitrogen, phosphorus, or any other pollutants in the town of Wellfleet, except in cases of commercial agricultural use or residential organic fertilizer use.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only takes effect provided there are no General or Special Laws to the contrary, including any General or Special Law conferring exclusive authority upon the Department of Agriculture to regulate and control the application of fertilizers elsewhere in the Commonwealth.</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