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5483</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allowing the town of Williamstown to ban second generation anticoagulant rodenticides (SGARs)</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Barrett</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town of Williamstown to adopt ordinances that prohibit or restrict the application of second generation anticoagulant rodenticides within the town, except as allowed by the Board of Health to remediate a public health condition.</w:t>
            </w:r>
            <w:r w:rsidDel="00000000" w:rsidR="00000000" w:rsidRPr="00000000">
              <w:rPr>
                <w:rtl w:val="0"/>
              </w:rPr>
            </w:r>
          </w:p>
        </w:tc>
      </w:tr>
    </w:tbl>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