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6480"/>
        <w:tblGridChange w:id="0">
          <w:tblGrid>
            <w:gridCol w:w="2865"/>
            <w:gridCol w:w="648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5484</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prohibit the application of fertilizer in the town of Eastham</w:t>
            </w:r>
          </w:p>
          <w:p w:rsidR="00000000" w:rsidDel="00000000" w:rsidP="00000000" w:rsidRDefault="00000000" w:rsidRPr="00000000" w14:paraId="00000007">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Luddy</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17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p w:rsidR="00000000" w:rsidDel="00000000" w:rsidP="00000000" w:rsidRDefault="00000000" w:rsidRPr="00000000" w14:paraId="0000000F">
            <w:pPr>
              <w:spacing w:after="0" w:before="0" w:lineRule="auto"/>
              <w:rPr>
                <w:rFonts w:ascii="Times New Roman" w:cs="Times New Roman" w:eastAsia="Times New Roman" w:hAnsi="Times New Roman"/>
                <w:sz w:val="12"/>
                <w:szCs w:val="12"/>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prohibits the application of fertilizer containing nitrogen, phosphorus, or any other pollutants in the town of Eastham, except in cases of commercial agricultural use or residential organic fertilizer use.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only takes effect provided there are no General or Special Laws to the contrary, including any General or Special Law conferring exclusive authority upon the Department of Agriculture to regulate and control the application of fertilizers elsewhere in the Commonwealth.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