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6480"/>
        <w:tblGridChange w:id="0">
          <w:tblGrid>
            <w:gridCol w:w="2865"/>
            <w:gridCol w:w="648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5484</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prohibit the application of fertilizer in the town of Eastham</w:t>
            </w:r>
          </w:p>
          <w:p w:rsidR="00000000" w:rsidDel="00000000" w:rsidP="00000000" w:rsidRDefault="00000000" w:rsidRPr="00000000" w14:paraId="00000007">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Luddy</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17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PRIOR HISTORY</w:t>
            </w:r>
          </w:p>
          <w:p w:rsidR="00000000" w:rsidDel="00000000" w:rsidP="00000000" w:rsidRDefault="00000000" w:rsidRPr="00000000" w14:paraId="0000000D">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p w:rsidR="00000000" w:rsidDel="00000000" w:rsidP="00000000" w:rsidRDefault="00000000" w:rsidRPr="00000000" w14:paraId="0000000F">
            <w:pPr>
              <w:spacing w:after="0" w:before="0" w:lineRule="auto"/>
              <w:rPr>
                <w:rFonts w:ascii="Times New Roman" w:cs="Times New Roman" w:eastAsia="Times New Roman" w:hAnsi="Times New Roman"/>
                <w:sz w:val="12"/>
                <w:szCs w:val="12"/>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prohibits the application of fertilizer containing nitrogen, phosphorus, or any other pollutants in the town of Eastham, except in cases of commercial agricultural use or residential organic fertilizer use.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only takes effect provided there are no General or Special Laws to the contrary, including any General or Special Law conferring exclusive authority upon the Department of Agriculture to regulate and control the application of fertilizers elsewhere in the Commonwealth.</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