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5532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Groton to prohibit the use of second generation anticoagulant rodenticides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Scarsdale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Groton to use local bylaws or board of health regulations to regulate the use of second generation anti-coagulant rodenticides within the town, including prohibiting the use of such pesticides by licensed commercial applicators as defined in 333C.M.R.10.00.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