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1E7C" w:rsidRDefault="00AA6EAC"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411E7C" w:rsidRDefault="00AA6EAC"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411E7C" w:rsidRDefault="00AA6EAC"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H.799</w:t>
      </w:r>
    </w:p>
    <w:p w:rsidR="00411E7C" w:rsidRDefault="00411E7C" w14:paraId="00000004" w14:textId="77777777">
      <w:pPr>
        <w:keepLines/>
        <w:shd w:val="clear" w:color="auto" w:fill="FFFFFF"/>
        <w:spacing w:line="240" w:lineRule="auto"/>
        <w:rPr>
          <w:rFonts w:ascii="Times New Roman" w:hAnsi="Times New Roman" w:eastAsia="Times New Roman" w:cs="Times New Roman"/>
          <w:b/>
          <w:sz w:val="24"/>
          <w:szCs w:val="24"/>
        </w:rPr>
      </w:pPr>
    </w:p>
    <w:p w:rsidR="00411E7C" w:rsidRDefault="00AA6EAC" w14:paraId="00000005"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Title: </w:t>
      </w:r>
      <w:r>
        <w:rPr>
          <w:rFonts w:ascii="Times New Roman" w:hAnsi="Times New Roman" w:eastAsia="Times New Roman" w:cs="Times New Roman"/>
          <w:sz w:val="24"/>
          <w:szCs w:val="24"/>
        </w:rPr>
        <w:t>An Act decoupling the municipal census from voter registration</w:t>
      </w:r>
    </w:p>
    <w:p w:rsidR="00411E7C" w:rsidRDefault="00411E7C" w14:paraId="00000006" w14:textId="77777777">
      <w:pPr>
        <w:keepLines/>
        <w:shd w:val="clear" w:color="auto" w:fill="FFFFFF"/>
        <w:spacing w:line="240" w:lineRule="auto"/>
        <w:rPr>
          <w:rFonts w:ascii="Times New Roman" w:hAnsi="Times New Roman" w:eastAsia="Times New Roman" w:cs="Times New Roman"/>
          <w:sz w:val="24"/>
          <w:szCs w:val="24"/>
        </w:rPr>
      </w:pPr>
    </w:p>
    <w:p w:rsidR="00411E7C" w:rsidRDefault="00AA6EAC"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Rep. Shirley B. Arriaga</w:t>
      </w:r>
    </w:p>
    <w:p w:rsidR="00411E7C" w:rsidRDefault="00411E7C" w14:paraId="00000008" w14:textId="77777777">
      <w:pPr>
        <w:keepLines/>
        <w:shd w:val="clear" w:color="auto" w:fill="FFFFFF"/>
        <w:spacing w:line="240" w:lineRule="auto"/>
        <w:rPr>
          <w:rFonts w:ascii="Times New Roman" w:hAnsi="Times New Roman" w:eastAsia="Times New Roman" w:cs="Times New Roman"/>
          <w:sz w:val="24"/>
          <w:szCs w:val="24"/>
        </w:rPr>
      </w:pPr>
    </w:p>
    <w:p w:rsidR="00411E7C" w:rsidRDefault="00AA6EAC"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September 16, 2025</w:t>
      </w:r>
    </w:p>
    <w:p w:rsidR="00411E7C" w:rsidRDefault="00AA6EAC"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411E7C" w:rsidRDefault="00AA6EAC"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November 15, 2025</w:t>
      </w:r>
    </w:p>
    <w:p w:rsidR="00411E7C" w:rsidRDefault="00AA6EAC"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411E7C" w:rsidRDefault="00AA6EAC"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N/A</w:t>
      </w:r>
    </w:p>
    <w:p w:rsidR="00411E7C" w:rsidRDefault="00AA6EAC" w14:paraId="0000000E" w14:textId="77777777">
      <w:pPr>
        <w:keepLines/>
        <w:shd w:val="clear" w:color="auto" w:fill="FFFFFF"/>
        <w:spacing w:line="240" w:lineRule="auto"/>
        <w:ind w:firstLine="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411E7C" w:rsidRDefault="00AA6EAC"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411E7C" w:rsidRDefault="00AA6EAC"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411E7C" w:rsidP="37D7F2AB" w:rsidRDefault="00AA6EAC" w14:paraId="00000011" w14:textId="77777777">
      <w:pPr>
        <w:keepLines w:val="1"/>
        <w:shd w:val="clear" w:color="auto" w:fill="FFFFFF" w:themeFill="background1"/>
        <w:spacing w:line="240" w:lineRule="auto"/>
        <w:jc w:val="both"/>
        <w:rPr>
          <w:rFonts w:ascii="Times New Roman" w:hAnsi="Times New Roman" w:eastAsia="Times New Roman" w:cs="Times New Roman"/>
          <w:sz w:val="20"/>
          <w:szCs w:val="20"/>
          <w:lang w:val="en-US"/>
        </w:rPr>
      </w:pPr>
      <w:r w:rsidRPr="37D7F2AB" w:rsidR="00AA6EAC">
        <w:rPr>
          <w:rFonts w:ascii="Times New Roman" w:hAnsi="Times New Roman" w:eastAsia="Times New Roman" w:cs="Times New Roman"/>
          <w:b w:val="1"/>
          <w:bCs w:val="1"/>
          <w:sz w:val="24"/>
          <w:szCs w:val="24"/>
          <w:lang w:val="en-US"/>
        </w:rPr>
        <w:t>CURRENT LAW:</w:t>
      </w:r>
      <w:r w:rsidRPr="37D7F2AB" w:rsidR="00AA6EAC">
        <w:rPr>
          <w:rFonts w:ascii="Times New Roman" w:hAnsi="Times New Roman" w:eastAsia="Times New Roman" w:cs="Times New Roman"/>
          <w:b w:val="1"/>
          <w:bCs w:val="1"/>
          <w:lang w:val="en-US"/>
        </w:rPr>
        <w:t xml:space="preserve"> </w:t>
      </w:r>
      <w:r w:rsidRPr="37D7F2AB" w:rsidR="00AA6EAC">
        <w:rPr>
          <w:rFonts w:ascii="Times New Roman" w:hAnsi="Times New Roman" w:eastAsia="Times New Roman" w:cs="Times New Roman"/>
          <w:lang w:val="en-US"/>
        </w:rPr>
        <w:t>(MGL Chapter 51), if a registered voter fails to respond to a confirmation notice and does not vote in two consecutive federal elections, their name may be removed from the active voting list and possibly from the voter registration rolls (Section 4(c)). Registrars maintain annual voter registers (Sections 37, 37A, and 38), updating them based on new registrations, deaths, changes of address, and legal disqualifications. Voters who appear to have moved are placed on an inactive list and must respond or vote</w:t>
      </w:r>
      <w:r w:rsidRPr="37D7F2AB" w:rsidR="00AA6EAC">
        <w:rPr>
          <w:rFonts w:ascii="Times New Roman" w:hAnsi="Times New Roman" w:eastAsia="Times New Roman" w:cs="Times New Roman"/>
          <w:lang w:val="en-US"/>
        </w:rPr>
        <w:t xml:space="preserve"> within two biennial elections to remain registered; otherwise, they may be removed from the rolls. Inactive voters may still vote upon affirming their residency.</w:t>
      </w:r>
    </w:p>
    <w:p w:rsidR="00411E7C" w:rsidRDefault="00411E7C" w14:paraId="00000012" w14:textId="77777777">
      <w:pPr>
        <w:keepLines/>
        <w:shd w:val="clear" w:color="auto" w:fill="FFFFFF"/>
        <w:spacing w:line="240" w:lineRule="auto"/>
        <w:jc w:val="both"/>
        <w:rPr>
          <w:rFonts w:ascii="Times New Roman" w:hAnsi="Times New Roman" w:eastAsia="Times New Roman" w:cs="Times New Roman"/>
          <w:sz w:val="20"/>
          <w:szCs w:val="20"/>
        </w:rPr>
      </w:pPr>
    </w:p>
    <w:p w:rsidR="00411E7C" w:rsidP="37D7F2AB" w:rsidRDefault="00AA6EAC" w14:paraId="00000013" w14:textId="77777777">
      <w:pPr>
        <w:keepLines w:val="1"/>
        <w:shd w:val="clear" w:color="auto" w:fill="FFFFFF" w:themeFill="background1"/>
        <w:spacing w:line="240" w:lineRule="auto"/>
        <w:jc w:val="both"/>
        <w:rPr>
          <w:rFonts w:ascii="Times New Roman" w:hAnsi="Times New Roman" w:eastAsia="Times New Roman" w:cs="Times New Roman"/>
          <w:sz w:val="20"/>
          <w:szCs w:val="20"/>
          <w:lang w:val="en-US"/>
        </w:rPr>
      </w:pPr>
      <w:r w:rsidRPr="37D7F2AB" w:rsidR="00AA6EAC">
        <w:rPr>
          <w:rFonts w:ascii="Times New Roman" w:hAnsi="Times New Roman" w:eastAsia="Times New Roman" w:cs="Times New Roman"/>
          <w:b w:val="1"/>
          <w:bCs w:val="1"/>
          <w:sz w:val="24"/>
          <w:szCs w:val="24"/>
          <w:lang w:val="en-US"/>
        </w:rPr>
        <w:t>SUMMARY:</w:t>
      </w:r>
      <w:r w:rsidRPr="37D7F2AB" w:rsidR="00AA6EAC">
        <w:rPr>
          <w:rFonts w:ascii="Times New Roman" w:hAnsi="Times New Roman" w:eastAsia="Times New Roman" w:cs="Times New Roman"/>
          <w:b w:val="1"/>
          <w:bCs w:val="1"/>
          <w:lang w:val="en-US"/>
        </w:rPr>
        <w:t xml:space="preserve"> </w:t>
      </w:r>
      <w:r w:rsidRPr="37D7F2AB" w:rsidR="00AA6EAC">
        <w:rPr>
          <w:rFonts w:ascii="Times New Roman" w:hAnsi="Times New Roman" w:eastAsia="Times New Roman" w:cs="Times New Roman"/>
          <w:lang w:val="en-US"/>
        </w:rPr>
        <w:t>This act modifies how voter registration and census data are managed. It decouples the municipal census from voter registration by removing certain requirements about voter removal based on census data. It also updates rules for maintaining voter lists, including the process for removing inactive voters, restoring names to the active list, and handling changes of residence. The act introduces a new procedure for notifying voters and updating voter rolls. It also requires the Secretary of State to adopt reg</w:t>
      </w:r>
      <w:r w:rsidRPr="37D7F2AB" w:rsidR="00AA6EAC">
        <w:rPr>
          <w:rFonts w:ascii="Times New Roman" w:hAnsi="Times New Roman" w:eastAsia="Times New Roman" w:cs="Times New Roman"/>
          <w:lang w:val="en-US"/>
        </w:rPr>
        <w:t xml:space="preserve">ulations to implement these changes. </w:t>
      </w:r>
    </w:p>
    <w:sectPr w:rsidR="00411E7C">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E7C"/>
    <w:rsid w:val="00275E26"/>
    <w:rsid w:val="00411E7C"/>
    <w:rsid w:val="00AA6EAC"/>
    <w:rsid w:val="37D7F2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CC9FC1A8-D834-48CE-9AB4-049987B3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B541BA-4BD4-40F6-94D6-26CDA8154898}">
  <ds:schemaRefs>
    <ds:schemaRef ds:uri="http://schemas.microsoft.com/sharepoint/v3/contenttype/forms"/>
  </ds:schemaRefs>
</ds:datastoreItem>
</file>

<file path=customXml/itemProps2.xml><?xml version="1.0" encoding="utf-8"?>
<ds:datastoreItem xmlns:ds="http://schemas.openxmlformats.org/officeDocument/2006/customXml" ds:itemID="{30B5F213-2E79-45F9-B81A-BAD4C1997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D4A56-B137-40CD-B6E5-862A7017C5F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2025-07-29T13:55:00.0000000Z</dcterms:created>
  <dcterms:modified xsi:type="dcterms:W3CDTF">2025-07-29T13:55:37.7130659Z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