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586" w:rsidRDefault="00BC5290"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3D0586" w:rsidRDefault="00BC5290"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3D0586" w:rsidRDefault="00BC5290"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RDefault="00BC5290"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P="2B311E3B" w:rsidRDefault="00BC5290"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2B311E3B" w:rsidR="00BC5290">
        <w:rPr>
          <w:rFonts w:ascii="Times New Roman" w:hAnsi="Times New Roman" w:eastAsia="Times New Roman" w:cs="Times New Roman"/>
          <w:b w:val="1"/>
          <w:bCs w:val="1"/>
          <w:sz w:val="24"/>
          <w:szCs w:val="24"/>
          <w:lang w:val="en-US"/>
        </w:rPr>
        <w:t>Bill Number:</w:t>
      </w:r>
      <w:r>
        <w:tab/>
      </w:r>
      <w:r>
        <w:tab/>
      </w:r>
      <w:r>
        <w:tab/>
      </w:r>
      <w:r w:rsidRPr="2B311E3B" w:rsidR="00BC5290">
        <w:rPr>
          <w:rFonts w:ascii="Times New Roman" w:hAnsi="Times New Roman" w:eastAsia="Times New Roman" w:cs="Times New Roman"/>
          <w:b w:val="1"/>
          <w:bCs w:val="1"/>
          <w:sz w:val="24"/>
          <w:szCs w:val="24"/>
          <w:lang w:val="en-US"/>
        </w:rPr>
        <w:t xml:space="preserve">H.808 </w:t>
      </w:r>
    </w:p>
    <w:p w:rsidR="003D0586" w:rsidRDefault="00BC5290"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P="2B311E3B" w:rsidRDefault="00BC5290"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2B311E3B" w:rsidR="00BC5290">
        <w:rPr>
          <w:rFonts w:ascii="Times New Roman" w:hAnsi="Times New Roman" w:eastAsia="Times New Roman" w:cs="Times New Roman"/>
          <w:b w:val="1"/>
          <w:bCs w:val="1"/>
          <w:sz w:val="24"/>
          <w:szCs w:val="24"/>
          <w:lang w:val="en-US"/>
        </w:rPr>
        <w:t>Title:</w:t>
      </w:r>
      <w:r>
        <w:tab/>
      </w:r>
      <w:r>
        <w:tab/>
      </w:r>
      <w:r>
        <w:tab/>
      </w:r>
      <w:r>
        <w:tab/>
      </w:r>
      <w:r w:rsidRPr="2B311E3B" w:rsidR="00BC5290">
        <w:rPr>
          <w:rFonts w:ascii="Times New Roman" w:hAnsi="Times New Roman" w:eastAsia="Times New Roman" w:cs="Times New Roman"/>
          <w:b w:val="1"/>
          <w:bCs w:val="1"/>
          <w:i w:val="1"/>
          <w:iCs w:val="1"/>
          <w:sz w:val="24"/>
          <w:szCs w:val="24"/>
          <w:lang w:val="en-US"/>
        </w:rPr>
        <w:t>An Act clarifying the role of Governor’s Councillor on the ballot</w:t>
      </w:r>
    </w:p>
    <w:p w:rsidR="003D0586" w:rsidRDefault="00BC5290"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P="2B311E3B" w:rsidRDefault="00BC5290" w14:paraId="00000009" w14:textId="77777777">
      <w:pPr>
        <w:shd w:val="clear" w:color="auto" w:fill="FFFFFF" w:themeFill="background1"/>
        <w:rPr>
          <w:rFonts w:ascii="Times New Roman" w:hAnsi="Times New Roman" w:eastAsia="Times New Roman" w:cs="Times New Roman"/>
          <w:sz w:val="24"/>
          <w:szCs w:val="24"/>
          <w:lang w:val="en-US"/>
        </w:rPr>
      </w:pPr>
      <w:r w:rsidRPr="2B311E3B" w:rsidR="00BC5290">
        <w:rPr>
          <w:rFonts w:ascii="Times New Roman" w:hAnsi="Times New Roman" w:eastAsia="Times New Roman" w:cs="Times New Roman"/>
          <w:b w:val="1"/>
          <w:bCs w:val="1"/>
          <w:sz w:val="24"/>
          <w:szCs w:val="24"/>
          <w:lang w:val="en-US"/>
        </w:rPr>
        <w:t>Sponsor(s):</w:t>
      </w:r>
      <w:r>
        <w:tab/>
      </w:r>
      <w:r>
        <w:tab/>
      </w:r>
      <w:r>
        <w:tab/>
      </w:r>
      <w:r w:rsidRPr="2B311E3B" w:rsidR="00BC5290">
        <w:rPr>
          <w:rFonts w:ascii="Times New Roman" w:hAnsi="Times New Roman" w:eastAsia="Times New Roman" w:cs="Times New Roman"/>
          <w:sz w:val="24"/>
          <w:szCs w:val="24"/>
          <w:lang w:val="en-US"/>
        </w:rPr>
        <w:t>Rep. Tackey Chan (</w:t>
      </w:r>
      <w:r w:rsidRPr="2B311E3B" w:rsidR="00BC5290">
        <w:rPr>
          <w:rFonts w:ascii="Times New Roman" w:hAnsi="Times New Roman" w:eastAsia="Times New Roman" w:cs="Times New Roman"/>
          <w:i w:val="1"/>
          <w:iCs w:val="1"/>
          <w:sz w:val="24"/>
          <w:szCs w:val="24"/>
          <w:lang w:val="en-US"/>
        </w:rPr>
        <w:t>Quincy</w:t>
      </w:r>
      <w:r w:rsidRPr="2B311E3B" w:rsidR="00BC5290">
        <w:rPr>
          <w:rFonts w:ascii="Times New Roman" w:hAnsi="Times New Roman" w:eastAsia="Times New Roman" w:cs="Times New Roman"/>
          <w:sz w:val="24"/>
          <w:szCs w:val="24"/>
          <w:lang w:val="en-US"/>
        </w:rPr>
        <w:t>)</w:t>
      </w:r>
    </w:p>
    <w:p w:rsidR="003D0586" w:rsidRDefault="00BC5290"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P="2B311E3B" w:rsidRDefault="00BC5290" w14:paraId="0000000B" w14:textId="77777777">
      <w:pPr>
        <w:shd w:val="clear" w:color="auto" w:fill="FFFFFF" w:themeFill="background1"/>
        <w:rPr>
          <w:rFonts w:ascii="Times New Roman" w:hAnsi="Times New Roman" w:eastAsia="Times New Roman" w:cs="Times New Roman"/>
          <w:sz w:val="24"/>
          <w:szCs w:val="24"/>
          <w:lang w:val="en-US"/>
        </w:rPr>
      </w:pPr>
      <w:r w:rsidRPr="2B311E3B" w:rsidR="00BC5290">
        <w:rPr>
          <w:rFonts w:ascii="Times New Roman" w:hAnsi="Times New Roman" w:eastAsia="Times New Roman" w:cs="Times New Roman"/>
          <w:b w:val="1"/>
          <w:bCs w:val="1"/>
          <w:sz w:val="24"/>
          <w:szCs w:val="24"/>
          <w:lang w:val="en-US"/>
        </w:rPr>
        <w:t>Hearing Date:</w:t>
      </w:r>
      <w:r>
        <w:tab/>
      </w:r>
      <w:r>
        <w:tab/>
      </w:r>
      <w:r w:rsidRPr="2B311E3B" w:rsidR="00BC5290">
        <w:rPr>
          <w:rFonts w:ascii="Times New Roman" w:hAnsi="Times New Roman" w:eastAsia="Times New Roman" w:cs="Times New Roman"/>
          <w:sz w:val="24"/>
          <w:szCs w:val="24"/>
          <w:lang w:val="en-US"/>
        </w:rPr>
        <w:t xml:space="preserve">June 17, 2025 </w:t>
      </w:r>
    </w:p>
    <w:p w:rsidR="003D0586" w:rsidRDefault="00BC5290"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P="2B311E3B" w:rsidRDefault="00BC5290" w14:paraId="0000000D" w14:textId="77777777">
      <w:pPr>
        <w:shd w:val="clear" w:color="auto" w:fill="FFFFFF" w:themeFill="background1"/>
        <w:rPr>
          <w:rFonts w:ascii="Times New Roman" w:hAnsi="Times New Roman" w:eastAsia="Times New Roman" w:cs="Times New Roman"/>
          <w:sz w:val="24"/>
          <w:szCs w:val="24"/>
          <w:lang w:val="en-US"/>
        </w:rPr>
      </w:pPr>
      <w:r w:rsidRPr="2B311E3B" w:rsidR="00BC5290">
        <w:rPr>
          <w:rFonts w:ascii="Times New Roman" w:hAnsi="Times New Roman" w:eastAsia="Times New Roman" w:cs="Times New Roman"/>
          <w:b w:val="1"/>
          <w:bCs w:val="1"/>
          <w:sz w:val="24"/>
          <w:szCs w:val="24"/>
          <w:lang w:val="en-US"/>
        </w:rPr>
        <w:t>Reporting Deadline:</w:t>
      </w:r>
      <w:r>
        <w:tab/>
      </w:r>
      <w:r>
        <w:tab/>
      </w:r>
      <w:r w:rsidRPr="2B311E3B" w:rsidR="00BC5290">
        <w:rPr>
          <w:rFonts w:ascii="Times New Roman" w:hAnsi="Times New Roman" w:eastAsia="Times New Roman" w:cs="Times New Roman"/>
          <w:sz w:val="24"/>
          <w:szCs w:val="24"/>
          <w:lang w:val="en-US"/>
        </w:rPr>
        <w:t xml:space="preserve">August 16, 2025 </w:t>
      </w:r>
    </w:p>
    <w:p w:rsidR="003D0586" w:rsidRDefault="00BC5290"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RDefault="00BC5290"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(H.666) Ordered to study</w:t>
      </w:r>
    </w:p>
    <w:p w:rsidR="003D0586" w:rsidRDefault="00BC5290" w14:paraId="00000010" w14:textId="77777777">
      <w:pPr>
        <w:pBdr>
          <w:left w:val="none" w:color="auto" w:sz="0" w:space="28"/>
        </w:pBdr>
        <w:shd w:val="clear" w:color="auto" w:fill="FFFFFF"/>
        <w:ind w:left="216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2021-22 (H.768): Ordered to study</w:t>
      </w:r>
    </w:p>
    <w:p w:rsidR="003D0586" w:rsidRDefault="00BC5290"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RDefault="00BC5290"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3D0586" w:rsidRDefault="00BC5290" w14:paraId="00000013"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RDefault="003D0586" w14:paraId="00000014" w14:textId="77777777">
      <w:pPr>
        <w:shd w:val="clear" w:color="auto" w:fill="FFFFFF"/>
        <w:jc w:val="both"/>
        <w:rPr>
          <w:rFonts w:ascii="Times New Roman" w:hAnsi="Times New Roman" w:eastAsia="Times New Roman" w:cs="Times New Roman"/>
          <w:b/>
          <w:sz w:val="24"/>
          <w:szCs w:val="24"/>
        </w:rPr>
      </w:pPr>
    </w:p>
    <w:p w:rsidR="003D0586" w:rsidRDefault="00BC5290"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3D0586" w:rsidRDefault="00BC5290"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RDefault="00BC5290"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53 § 11</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Certificates of nomination and nomination papers; objections; filing</w:t>
      </w:r>
      <w:r>
        <w:rPr>
          <w:rFonts w:ascii="Times New Roman" w:hAnsi="Times New Roman" w:eastAsia="Times New Roman" w:cs="Times New Roman"/>
          <w:sz w:val="24"/>
          <w:szCs w:val="24"/>
        </w:rPr>
        <w:t>:</w:t>
      </w:r>
    </w:p>
    <w:p w:rsidR="003D0586" w:rsidRDefault="00BC5290"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 nomination papers have been properly filed and are in conformity with the law, they shall be valid unless written objections are made either to the Secretary of the Commonwealth for state offices or with municipal clerks for municipal offices. </w:t>
      </w:r>
    </w:p>
    <w:p w:rsidR="003D0586" w:rsidRDefault="003D0586" w14:paraId="00000019" w14:textId="77777777">
      <w:pPr>
        <w:shd w:val="clear" w:color="auto" w:fill="FFFFFF"/>
        <w:jc w:val="both"/>
        <w:rPr>
          <w:rFonts w:ascii="Times New Roman" w:hAnsi="Times New Roman" w:eastAsia="Times New Roman" w:cs="Times New Roman"/>
          <w:sz w:val="24"/>
          <w:szCs w:val="24"/>
        </w:rPr>
      </w:pPr>
    </w:p>
    <w:p w:rsidR="003D0586" w:rsidRDefault="00BC5290" w14:paraId="0000001A"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3D0586" w:rsidRDefault="00BC5290" w14:paraId="0000001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3D0586" w:rsidRDefault="00BC5290" w14:paraId="0000001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[A neutral summary of the changes to current law proposed by the bill]</w:t>
      </w:r>
      <w:r>
        <w:rPr>
          <w:rFonts w:ascii="Times New Roman" w:hAnsi="Times New Roman" w:eastAsia="Times New Roman" w:cs="Times New Roman"/>
          <w:sz w:val="24"/>
          <w:szCs w:val="24"/>
        </w:rPr>
        <w:t xml:space="preserve"> </w:t>
      </w:r>
    </w:p>
    <w:p w:rsidR="003D0586" w:rsidRDefault="00BC5290" w14:paraId="0000001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D0586" w:rsidP="2B311E3B" w:rsidRDefault="00BC5290" w14:paraId="0000001E" w14:textId="77777777">
      <w:pPr>
        <w:shd w:val="clear" w:color="auto" w:fill="FFFFFF" w:themeFill="background1"/>
        <w:jc w:val="both"/>
        <w:rPr>
          <w:rFonts w:ascii="Times New Roman" w:hAnsi="Times New Roman" w:eastAsia="Times New Roman" w:cs="Times New Roman"/>
          <w:sz w:val="24"/>
          <w:szCs w:val="24"/>
          <w:lang w:val="en-US"/>
        </w:rPr>
      </w:pPr>
      <w:r w:rsidRPr="2B311E3B" w:rsidR="00BC5290">
        <w:rPr>
          <w:rFonts w:ascii="Times New Roman" w:hAnsi="Times New Roman" w:eastAsia="Times New Roman" w:cs="Times New Roman"/>
          <w:sz w:val="24"/>
          <w:szCs w:val="24"/>
          <w:lang w:val="en-US"/>
        </w:rPr>
        <w:t>The bill requires candidates seeking state, municipal or county office to, prior to the deadline for nomination papers, submit an affidavit affirming they meet the residency requirement for that office. Challenges to such affidavits must be submitted to the town or city clerk for municipal office or to the Secretary of State for state or county office no less than 10 days before the date when a candidate can withdraw their candidacy. Candidates found to not satisfy residency requirements after a challenge w</w:t>
      </w:r>
      <w:r w:rsidRPr="2B311E3B" w:rsidR="00BC5290">
        <w:rPr>
          <w:rFonts w:ascii="Times New Roman" w:hAnsi="Times New Roman" w:eastAsia="Times New Roman" w:cs="Times New Roman"/>
          <w:sz w:val="24"/>
          <w:szCs w:val="24"/>
          <w:lang w:val="en-US"/>
        </w:rPr>
        <w:t xml:space="preserve">ill have their nomination withdrawn. The Secretary of State is directed to establish the relevant rules and regulations on how to execute this. </w:t>
      </w:r>
    </w:p>
    <w:p w:rsidR="003D0586" w:rsidRDefault="003D0586" w14:paraId="0000001F" w14:textId="77777777">
      <w:pPr>
        <w:shd w:val="clear" w:color="auto" w:fill="FFFFFF"/>
        <w:jc w:val="both"/>
        <w:rPr>
          <w:rFonts w:ascii="Times New Roman" w:hAnsi="Times New Roman" w:eastAsia="Times New Roman" w:cs="Times New Roman"/>
          <w:sz w:val="24"/>
          <w:szCs w:val="24"/>
        </w:rPr>
      </w:pPr>
    </w:p>
    <w:p w:rsidR="003D0586" w:rsidRDefault="003D0586" w14:paraId="00000020" w14:textId="77777777"/>
    <w:sectPr w:rsidR="003D058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86"/>
    <w:rsid w:val="003D0586"/>
    <w:rsid w:val="00BC5290"/>
    <w:rsid w:val="00D62C6A"/>
    <w:rsid w:val="2B311E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C5BFD1"/>
  <w15:docId w15:val="{651ED203-2191-4296-819B-ACA81F8744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27D91-161E-42E7-A5C1-617301642268}">
  <ds:schemaRefs>
    <ds:schemaRef ds:uri="http://schemas.microsoft.com/sharepoint/v3/contenttype/forms"/>
  </ds:schemaRefs>
</ds:datastoreItem>
</file>

<file path=customXml/itemProps2.xml><?xml version="1.0" encoding="utf-8"?>
<ds:datastoreItem xmlns:ds="http://schemas.openxmlformats.org/officeDocument/2006/customXml" ds:itemID="{F38E6D84-BE77-4B36-9E44-4FDBAB2F3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F58AE-FA20-42B5-A17B-FE63D32F538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2025-06-12T14:42:00.0000000Z</dcterms:created>
  <dcterms:modified xsi:type="dcterms:W3CDTF">2025-06-12T14:42:41.7971172Z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