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hd w:fill="ffffff" w:val="clea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2025-2026 (194th) BILL SUMMARY </w:t>
      </w:r>
    </w:p>
    <w:p w:rsidR="00000000" w:rsidDel="00000000" w:rsidP="00000000" w:rsidRDefault="00000000" w:rsidRPr="00000000" w14:paraId="00000003">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H. 818</w:t>
      </w:r>
    </w:p>
    <w:p w:rsidR="00000000" w:rsidDel="00000000" w:rsidP="00000000" w:rsidRDefault="00000000" w:rsidRPr="00000000" w14:paraId="00000004">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Lines w:val="1"/>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An Act requiring major policy makers to disclose donations to entities engaging in political activit</w:t>
      </w:r>
      <w:r w:rsidDel="00000000" w:rsidR="00000000" w:rsidRPr="00000000">
        <w:rPr>
          <w:rFonts w:ascii="Calibri" w:cs="Calibri" w:eastAsia="Calibri" w:hAnsi="Calibri"/>
          <w:rtl w:val="0"/>
        </w:rPr>
        <w:t xml:space="preserve">y</w:t>
      </w:r>
      <w:r w:rsidDel="00000000" w:rsidR="00000000" w:rsidRPr="00000000">
        <w:rPr>
          <w:rtl w:val="0"/>
        </w:rPr>
      </w:r>
    </w:p>
    <w:p w:rsidR="00000000" w:rsidDel="00000000" w:rsidP="00000000" w:rsidRDefault="00000000" w:rsidRPr="00000000" w14:paraId="00000006">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Rep. Marjorie Decker</w:t>
      </w:r>
    </w:p>
    <w:p w:rsidR="00000000" w:rsidDel="00000000" w:rsidP="00000000" w:rsidRDefault="00000000" w:rsidRPr="00000000" w14:paraId="00000008">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rFonts w:ascii="Times New Roman" w:cs="Times New Roman" w:eastAsia="Times New Roman" w:hAnsi="Times New Roman"/>
          <w:rtl w:val="0"/>
        </w:rPr>
        <w:t xml:space="preserve"> October 21, 2025</w:t>
      </w:r>
      <w:r w:rsidDel="00000000" w:rsidR="00000000" w:rsidRPr="00000000">
        <w:rPr>
          <w:rtl w:val="0"/>
        </w:rPr>
      </w:r>
    </w:p>
    <w:p w:rsidR="00000000" w:rsidDel="00000000" w:rsidP="00000000" w:rsidRDefault="00000000" w:rsidRPr="00000000" w14:paraId="0000000A">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Lines w:val="1"/>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December 20, 2025</w:t>
      </w:r>
    </w:p>
    <w:p w:rsidR="00000000" w:rsidDel="00000000" w:rsidP="00000000" w:rsidRDefault="00000000" w:rsidRPr="00000000" w14:paraId="0000000C">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Prior History:</w:t>
      </w:r>
    </w:p>
    <w:p w:rsidR="00000000" w:rsidDel="00000000" w:rsidP="00000000" w:rsidRDefault="00000000" w:rsidRPr="00000000" w14:paraId="0000000E">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Similar Matters: </w:t>
      </w: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10">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CURRENT LAW: </w:t>
      </w:r>
      <w:r w:rsidDel="00000000" w:rsidR="00000000" w:rsidRPr="00000000">
        <w:rPr>
          <w:rFonts w:ascii="Times New Roman" w:cs="Times New Roman" w:eastAsia="Times New Roman" w:hAnsi="Times New Roman"/>
          <w:sz w:val="24"/>
          <w:szCs w:val="24"/>
          <w:rtl w:val="0"/>
        </w:rPr>
        <w:t xml:space="preserve">Currently, under Chapter 55 of the General Laws, candidates, political committees, and other entities must report contributions, independent expenditures, and electioneering communications, but there is no provision requiring individuals in major policymaking positions to disclose transfers to non-political committee entities. Specifically, Sections 1 through 42 of Chapter 55 govern definitions, reporting, contributions, expenditures, and disclosure requirements, but these rules do not extend to transfers to tax-exempt organizations (501(c)(3), 501(c)(4), 501(c)(5), 501(c)(6)), §527 organizations, or LLCs that may then use those funds for political activity.</w:t>
      </w:r>
    </w:p>
    <w:p w:rsidR="00000000" w:rsidDel="00000000" w:rsidP="00000000" w:rsidRDefault="00000000" w:rsidRPr="00000000" w14:paraId="00000012">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act requires individuals in major policymaking positions to disclose any donations or transfers of money or other value to tax-exempt organizations (like 501(c)(3), 501(c)(4), 501(c)(5), and 501(c)(6) entities) and other non-political entities (such as LLCs or entities under IRS § 527) that engage in political activities. The disclosure is required if the entity uses the donation to support or oppose candidates, ballot questions, or engage in election-related communications, especially if the value of the transfer exceeds $1,000. Political committees are also required to report these donations to the Office of Campaign and Political Finance.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8E31B-5F07-49E2-A44A-F58B95BBD44E}"/>
</file>

<file path=customXml/itemProps2.xml><?xml version="1.0" encoding="utf-8"?>
<ds:datastoreItem xmlns:ds="http://schemas.openxmlformats.org/officeDocument/2006/customXml" ds:itemID="{9DC1D1BF-BD0A-44C2-82FA-A1B3227933A4}"/>
</file>

<file path=customXml/itemProps3.xml><?xml version="1.0" encoding="utf-8"?>
<ds:datastoreItem xmlns:ds="http://schemas.openxmlformats.org/officeDocument/2006/customXml" ds:itemID="{26D89E41-80CC-4DDB-8104-87E2BAEC28C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