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2025-2026 (194th) BILL SUMMARY </w:t>
      </w:r>
    </w:p>
    <w:p w:rsidR="00000000" w:rsidDel="00000000" w:rsidP="00000000" w:rsidRDefault="00000000" w:rsidRPr="00000000" w14:paraId="00000003">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sz w:val="24"/>
          <w:szCs w:val="24"/>
          <w:rtl w:val="0"/>
        </w:rPr>
        <w:t xml:space="preserve">  H.848</w:t>
      </w:r>
    </w:p>
    <w:p w:rsidR="00000000" w:rsidDel="00000000" w:rsidP="00000000" w:rsidRDefault="00000000" w:rsidRPr="00000000" w14:paraId="00000004">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relative to campaign finance reform </w:t>
      </w:r>
    </w:p>
    <w:p w:rsidR="00000000" w:rsidDel="00000000" w:rsidP="00000000" w:rsidRDefault="00000000" w:rsidRPr="00000000" w14:paraId="00000006">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Rep. John J. Lawn, Jr. </w:t>
      </w:r>
    </w:p>
    <w:p w:rsidR="00000000" w:rsidDel="00000000" w:rsidP="00000000" w:rsidRDefault="00000000" w:rsidRPr="00000000" w14:paraId="00000008">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sz w:val="24"/>
          <w:szCs w:val="24"/>
          <w:rtl w:val="0"/>
        </w:rPr>
        <w:t xml:space="preserve"> October 21, 2025</w:t>
      </w:r>
    </w:p>
    <w:p w:rsidR="00000000" w:rsidDel="00000000" w:rsidP="00000000" w:rsidRDefault="00000000" w:rsidRPr="00000000" w14:paraId="0000000A">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sz w:val="24"/>
          <w:szCs w:val="24"/>
          <w:rtl w:val="0"/>
        </w:rPr>
        <w:t xml:space="preserve"> December 20, 2025</w:t>
      </w:r>
    </w:p>
    <w:p w:rsidR="00000000" w:rsidDel="00000000" w:rsidP="00000000" w:rsidRDefault="00000000" w:rsidRPr="00000000" w14:paraId="0000000C">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w:t>
        <w:tab/>
      </w:r>
      <w:r w:rsidDel="00000000" w:rsidR="00000000" w:rsidRPr="00000000">
        <w:rPr>
          <w:rtl w:val="0"/>
        </w:rPr>
      </w:r>
    </w:p>
    <w:p w:rsidR="00000000" w:rsidDel="00000000" w:rsidP="00000000" w:rsidRDefault="00000000" w:rsidRPr="00000000" w14:paraId="0000000E">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Similar Matters: N/A</w:t>
      </w:r>
    </w:p>
    <w:p w:rsidR="00000000" w:rsidDel="00000000" w:rsidP="00000000" w:rsidRDefault="00000000" w:rsidRPr="00000000" w14:paraId="00000010">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Under current Massachusetts law, MGL Chapter 55, Section 7A sets campaign contribution limits at $500 for individuals and $200 for certain other contributors. Reporting thresholds for campaign finance disclosures in Sections 9, 18, 18A, and 19 are generally set at $50. Filing deadlines for campaign finance reports, including year-end reports, are typically due by January 20. Independent expenditure PACs must file reports with either the Director of Campaign and Political Finance or local clerks but have fewer detailed reporting requirements. Employees of the Commonwealth or municipalities, other than elected officers, are prohibited from soliciting or receiving campaign contributions and from serving as treasurers of political committees under Section 13 of Chapter 55, but the scope of these restrictions is limited. Solicitation of political contributions inside buildings occupied for government purposes is prohibited, with no explicit provisions allowing rental for political events. Enforcement powers of the Director of Campaign and Political Finance related to hearings and fines are not specifically detailed in current law. There are no specific reporting requirements for contributions or expenditures aimed at influencing town warrant articles. The Local Election Early Voting Fund does not currently exist, and there is no mechanism for voluntary contributions on state income tax returns to support local election costs. Additionally, the State Election Campaign Fund operates separately without transferring funds to local election efforts.</w:t>
      </w:r>
    </w:p>
    <w:p w:rsidR="00000000" w:rsidDel="00000000" w:rsidP="00000000" w:rsidRDefault="00000000" w:rsidRPr="00000000" w14:paraId="00000012">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legislation reforms Massachusetts campaign finance and election laws, modernizing disclosure requirements, increasing contribution limits, enhancing enforcement authority, and establishing new funding mechanisms for local elections. It strengthens the authority of the Director of Campaign and Political Finance by creating a formal adjudicatory process to handle violations, including the ability to impose fines and order the return of unlawful contributions. Contribution limits for individuals and political committees are raised significantly, most from $500 to $1,500, and limits for contributions to political party committees increase up to $15,000 annually. These amounts will now be adjusted for inflation biennially beginning in 2026.</w:t>
      </w:r>
    </w:p>
    <w:p w:rsidR="00000000" w:rsidDel="00000000" w:rsidP="00000000" w:rsidRDefault="00000000" w:rsidRPr="00000000" w14:paraId="00000014">
      <w:pPr>
        <w:keepLines w:val="1"/>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improves transparency and reporting, requiring more detailed campaign finance disclosures, including in-kind contributions and liabilities. It increases thresholds for itemized reporting of contributions and expenditures from $50 to $100, and standardizes filing deadlines, notably changing several January 20 deadlines to January 31. New rules govern independent expenditure PACs, requiring them to follow consistent reporting schedules and enhancing public access to their filings. Certain outdated or redundant provisions, such as Sections 6A, 8A, 18B, 18D, and Chapter 55C, are repealed.</w:t>
      </w:r>
    </w:p>
    <w:p w:rsidR="00000000" w:rsidDel="00000000" w:rsidP="00000000" w:rsidRDefault="00000000" w:rsidRPr="00000000" w14:paraId="00000015">
      <w:pPr>
        <w:keepLines w:val="1"/>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section addresses reporting requirements for entities attempting to influence town warrant articles, requiring financial disclosures when spending exceeds $1,000. Restrictions are clarified for public employees regarding political fundraising, and exceptions are made for specific fundraising activities held in leased public buildings under certain conditions.</w:t>
      </w:r>
    </w:p>
    <w:p w:rsidR="00000000" w:rsidDel="00000000" w:rsidP="00000000" w:rsidRDefault="00000000" w:rsidRPr="00000000" w14:paraId="00000016">
      <w:pPr>
        <w:keepLines w:val="1"/>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Significantly, the act establishes the Local Election Early Voting Fund to assist municipalities with the cost of elections, including early voting and vote-by-mail. This fund will be financed in part by a new voluntary $1 income tax check-off, with contributors receiving a full tax credit. Any remaining funds from the now-defunct State Election Campaign Fund will be transferred into this new fund. The act represents a comprehensive update of Massachusetts' campaign finance laws, aimed at increasing fairness, transparency, and support for local democratic processes.</w:t>
      </w:r>
    </w:p>
    <w:p w:rsidR="00000000" w:rsidDel="00000000" w:rsidP="00000000" w:rsidRDefault="00000000" w:rsidRPr="00000000" w14:paraId="00000017">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35F0B-E01F-4249-9225-BCF50D94982D}"/>
</file>

<file path=customXml/itemProps2.xml><?xml version="1.0" encoding="utf-8"?>
<ds:datastoreItem xmlns:ds="http://schemas.openxmlformats.org/officeDocument/2006/customXml" ds:itemID="{D2E6DAFA-AED1-4E6A-B93B-AD25CCD49058}"/>
</file>

<file path=customXml/itemProps3.xml><?xml version="1.0" encoding="utf-8"?>
<ds:datastoreItem xmlns:ds="http://schemas.openxmlformats.org/officeDocument/2006/customXml" ds:itemID="{CAA63E3B-EA9A-4215-968E-63DF94FC6B2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