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9E7" w:rsidRDefault="00B86D59"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1479E7" w:rsidRDefault="00B86D59"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1479E7" w:rsidRDefault="00B86D59" w14:paraId="00000003" w14:textId="77777777">
      <w:pPr>
        <w:keepLines/>
        <w:shd w:val="clear" w:color="auto" w:fill="FFFFFF"/>
        <w:spacing w:line="240" w:lineRule="auto"/>
        <w:rPr>
          <w:rFonts w:ascii="Times New Roman" w:hAnsi="Times New Roman" w:eastAsia="Times New Roman" w:cs="Times New Roman"/>
        </w:rPr>
      </w:pPr>
      <w:r>
        <w:rPr>
          <w:rFonts w:ascii="Times New Roman" w:hAnsi="Times New Roman" w:eastAsia="Times New Roman" w:cs="Times New Roman"/>
          <w:b/>
          <w:sz w:val="24"/>
          <w:szCs w:val="24"/>
        </w:rPr>
        <w:t xml:space="preserve">Bill Number: </w:t>
      </w:r>
      <w:r>
        <w:rPr>
          <w:rFonts w:ascii="Times New Roman" w:hAnsi="Times New Roman" w:eastAsia="Times New Roman" w:cs="Times New Roman"/>
          <w:sz w:val="24"/>
          <w:szCs w:val="24"/>
        </w:rPr>
        <w:t>H.867</w:t>
      </w:r>
    </w:p>
    <w:p w:rsidR="001479E7" w:rsidRDefault="001479E7" w14:paraId="00000004" w14:textId="77777777">
      <w:pPr>
        <w:keepLines/>
        <w:shd w:val="clear" w:color="auto" w:fill="FFFFFF"/>
        <w:spacing w:line="240" w:lineRule="auto"/>
        <w:rPr>
          <w:rFonts w:ascii="Times New Roman" w:hAnsi="Times New Roman" w:eastAsia="Times New Roman" w:cs="Times New Roman"/>
        </w:rPr>
      </w:pPr>
    </w:p>
    <w:p w:rsidR="001479E7" w:rsidP="79278BE4" w:rsidRDefault="00B86D59"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79278BE4" w:rsidR="00B86D59">
        <w:rPr>
          <w:rFonts w:ascii="Times New Roman" w:hAnsi="Times New Roman" w:eastAsia="Times New Roman" w:cs="Times New Roman"/>
          <w:b w:val="1"/>
          <w:bCs w:val="1"/>
          <w:sz w:val="24"/>
          <w:szCs w:val="24"/>
          <w:lang w:val="en-US"/>
        </w:rPr>
        <w:t>Title</w:t>
      </w:r>
      <w:r w:rsidRPr="79278BE4" w:rsidR="00B86D59">
        <w:rPr>
          <w:rFonts w:ascii="Times New Roman" w:hAnsi="Times New Roman" w:eastAsia="Times New Roman" w:cs="Times New Roman"/>
          <w:sz w:val="24"/>
          <w:szCs w:val="24"/>
          <w:lang w:val="en-US"/>
        </w:rPr>
        <w:t xml:space="preserve">: </w:t>
      </w:r>
      <w:r w:rsidRPr="79278BE4" w:rsidR="00B86D59">
        <w:rPr>
          <w:rFonts w:ascii="Times New Roman" w:hAnsi="Times New Roman" w:eastAsia="Times New Roman" w:cs="Times New Roman"/>
          <w:lang w:val="en-US"/>
        </w:rPr>
        <w:t xml:space="preserve">An Act </w:t>
      </w:r>
      <w:r w:rsidRPr="79278BE4" w:rsidR="00B86D59">
        <w:rPr>
          <w:rFonts w:ascii="Times New Roman" w:hAnsi="Times New Roman" w:eastAsia="Times New Roman" w:cs="Times New Roman"/>
          <w:lang w:val="en-US"/>
        </w:rPr>
        <w:t>relative</w:t>
      </w:r>
      <w:r w:rsidRPr="79278BE4" w:rsidR="00B86D59">
        <w:rPr>
          <w:rFonts w:ascii="Times New Roman" w:hAnsi="Times New Roman" w:eastAsia="Times New Roman" w:cs="Times New Roman"/>
          <w:lang w:val="en-US"/>
        </w:rPr>
        <w:t xml:space="preserve"> to bake sales, farmer’s markets, or community festivals by political party committees</w:t>
      </w:r>
    </w:p>
    <w:p w:rsidR="001479E7" w:rsidRDefault="001479E7" w14:paraId="00000006" w14:textId="77777777">
      <w:pPr>
        <w:keepLines/>
        <w:shd w:val="clear" w:color="auto" w:fill="FFFFFF"/>
        <w:spacing w:line="240" w:lineRule="auto"/>
        <w:rPr>
          <w:rFonts w:ascii="Times New Roman" w:hAnsi="Times New Roman" w:eastAsia="Times New Roman" w:cs="Times New Roman"/>
          <w:b/>
          <w:sz w:val="24"/>
          <w:szCs w:val="24"/>
        </w:rPr>
      </w:pPr>
    </w:p>
    <w:p w:rsidR="001479E7" w:rsidRDefault="00B86D59" w14:paraId="00000007" w14:textId="77777777">
      <w:pPr>
        <w:keepLines/>
        <w:shd w:val="clear" w:color="auto" w:fill="FFFFFF"/>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Rep. Jeffrey N. Roy</w:t>
      </w:r>
    </w:p>
    <w:p w:rsidR="001479E7" w:rsidRDefault="001479E7" w14:paraId="00000008" w14:textId="77777777">
      <w:pPr>
        <w:keepLines/>
        <w:shd w:val="clear" w:color="auto" w:fill="FFFFFF"/>
        <w:spacing w:line="240" w:lineRule="auto"/>
        <w:rPr>
          <w:rFonts w:ascii="Times New Roman" w:hAnsi="Times New Roman" w:eastAsia="Times New Roman" w:cs="Times New Roman"/>
          <w:b/>
          <w:sz w:val="24"/>
          <w:szCs w:val="24"/>
        </w:rPr>
      </w:pPr>
    </w:p>
    <w:p w:rsidR="001479E7" w:rsidP="79278BE4" w:rsidRDefault="00B86D59" w14:paraId="00000009" w14:textId="0E3A1125">
      <w:pPr>
        <w:keepLines w:val="1"/>
        <w:shd w:val="clear" w:color="auto" w:fill="FFFFFF" w:themeFill="background1"/>
        <w:spacing w:line="240" w:lineRule="auto"/>
        <w:rPr>
          <w:rFonts w:ascii="Times New Roman" w:hAnsi="Times New Roman" w:eastAsia="Times New Roman" w:cs="Times New Roman"/>
          <w:sz w:val="24"/>
          <w:szCs w:val="24"/>
        </w:rPr>
      </w:pPr>
      <w:r w:rsidRPr="79278BE4" w:rsidR="00B86D59">
        <w:rPr>
          <w:rFonts w:ascii="Times New Roman" w:hAnsi="Times New Roman" w:eastAsia="Times New Roman" w:cs="Times New Roman"/>
          <w:b w:val="1"/>
          <w:bCs w:val="1"/>
          <w:sz w:val="24"/>
          <w:szCs w:val="24"/>
        </w:rPr>
        <w:t>Hearing Date:</w:t>
      </w:r>
      <w:r w:rsidRPr="79278BE4" w:rsidR="00B86D59">
        <w:rPr>
          <w:rFonts w:ascii="Times New Roman" w:hAnsi="Times New Roman" w:eastAsia="Times New Roman" w:cs="Times New Roman"/>
        </w:rPr>
        <w:t xml:space="preserve"> </w:t>
      </w:r>
      <w:r w:rsidRPr="79278BE4" w:rsidR="53ABA95C">
        <w:rPr>
          <w:rFonts w:ascii="Times New Roman" w:hAnsi="Times New Roman" w:eastAsia="Times New Roman" w:cs="Times New Roman"/>
        </w:rPr>
        <w:t xml:space="preserve"> October 21, 2025</w:t>
      </w:r>
    </w:p>
    <w:p w:rsidR="001479E7" w:rsidRDefault="00B86D59"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79E7" w:rsidP="79278BE4" w:rsidRDefault="00B86D59" w14:paraId="0000000B" w14:textId="5CC924FE">
      <w:pPr>
        <w:keepLines w:val="1"/>
        <w:shd w:val="clear" w:color="auto" w:fill="FFFFFF" w:themeFill="background1"/>
        <w:spacing w:line="240" w:lineRule="auto"/>
        <w:rPr>
          <w:rFonts w:ascii="Times New Roman" w:hAnsi="Times New Roman" w:eastAsia="Times New Roman" w:cs="Times New Roman"/>
          <w:lang w:val="en-US"/>
        </w:rPr>
      </w:pPr>
      <w:r w:rsidRPr="79278BE4" w:rsidR="00B86D59">
        <w:rPr>
          <w:rFonts w:ascii="Times New Roman" w:hAnsi="Times New Roman" w:eastAsia="Times New Roman" w:cs="Times New Roman"/>
          <w:b w:val="1"/>
          <w:bCs w:val="1"/>
          <w:sz w:val="24"/>
          <w:szCs w:val="24"/>
          <w:lang w:val="en-US"/>
        </w:rPr>
        <w:t>Reporting Deadline:</w:t>
      </w:r>
      <w:r w:rsidRPr="79278BE4" w:rsidR="00B86D59">
        <w:rPr>
          <w:rFonts w:ascii="Times New Roman" w:hAnsi="Times New Roman" w:eastAsia="Times New Roman" w:cs="Times New Roman"/>
          <w:lang w:val="en-US"/>
        </w:rPr>
        <w:t xml:space="preserve"> </w:t>
      </w:r>
      <w:r w:rsidRPr="79278BE4" w:rsidR="727F633F">
        <w:rPr>
          <w:rFonts w:ascii="Times New Roman" w:hAnsi="Times New Roman" w:eastAsia="Times New Roman" w:cs="Times New Roman"/>
          <w:lang w:val="en-US"/>
        </w:rPr>
        <w:t>December</w:t>
      </w:r>
      <w:r w:rsidRPr="79278BE4" w:rsidR="727F633F">
        <w:rPr>
          <w:rFonts w:ascii="Times New Roman" w:hAnsi="Times New Roman" w:eastAsia="Times New Roman" w:cs="Times New Roman"/>
          <w:lang w:val="en-US"/>
        </w:rPr>
        <w:t xml:space="preserve"> 20, 2025</w:t>
      </w:r>
    </w:p>
    <w:p w:rsidR="001479E7" w:rsidRDefault="00B86D59"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79E7" w:rsidP="79278BE4" w:rsidRDefault="00B86D59" w14:paraId="0000000D" w14:textId="0499DC9D">
      <w:pPr>
        <w:keepLines w:val="1"/>
        <w:shd w:val="clear" w:color="auto" w:fill="FFFFFF" w:themeFill="background1"/>
        <w:spacing w:line="240" w:lineRule="auto"/>
        <w:jc w:val="both"/>
        <w:rPr>
          <w:rFonts w:ascii="Times New Roman" w:hAnsi="Times New Roman" w:eastAsia="Times New Roman" w:cs="Times New Roman"/>
          <w:sz w:val="24"/>
          <w:szCs w:val="24"/>
        </w:rPr>
      </w:pPr>
      <w:r w:rsidRPr="79278BE4" w:rsidR="00B86D59">
        <w:rPr>
          <w:rFonts w:ascii="Times New Roman" w:hAnsi="Times New Roman" w:eastAsia="Times New Roman" w:cs="Times New Roman"/>
          <w:b w:val="1"/>
          <w:bCs w:val="1"/>
          <w:sz w:val="24"/>
          <w:szCs w:val="24"/>
        </w:rPr>
        <w:t>Prior History:</w:t>
      </w:r>
      <w:r w:rsidRPr="79278BE4" w:rsidR="00B86D59">
        <w:rPr>
          <w:rFonts w:ascii="Times New Roman" w:hAnsi="Times New Roman" w:eastAsia="Times New Roman" w:cs="Times New Roman"/>
          <w:sz w:val="24"/>
          <w:szCs w:val="24"/>
        </w:rPr>
        <w:t xml:space="preserve"> </w:t>
      </w:r>
      <w:r w:rsidRPr="79278BE4" w:rsidR="71B922A4">
        <w:rPr>
          <w:rFonts w:ascii="Times New Roman" w:hAnsi="Times New Roman" w:eastAsia="Times New Roman" w:cs="Times New Roman"/>
          <w:sz w:val="24"/>
          <w:szCs w:val="24"/>
        </w:rPr>
        <w:t>N/A</w:t>
      </w:r>
    </w:p>
    <w:p w:rsidR="001479E7" w:rsidRDefault="001479E7" w14:paraId="0000000E" w14:textId="77777777">
      <w:pPr>
        <w:keepLines/>
        <w:shd w:val="clear" w:color="auto" w:fill="FFFFFF"/>
        <w:spacing w:line="240" w:lineRule="auto"/>
        <w:jc w:val="both"/>
        <w:rPr>
          <w:rFonts w:ascii="Times New Roman" w:hAnsi="Times New Roman" w:eastAsia="Times New Roman" w:cs="Times New Roman"/>
          <w:b/>
          <w:sz w:val="24"/>
          <w:szCs w:val="24"/>
        </w:rPr>
      </w:pPr>
    </w:p>
    <w:p w:rsidR="001479E7" w:rsidRDefault="00B86D59" w14:paraId="0000000F"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 Similar Matters: </w:t>
      </w:r>
      <w:r>
        <w:rPr>
          <w:rFonts w:ascii="Times New Roman" w:hAnsi="Times New Roman" w:eastAsia="Times New Roman" w:cs="Times New Roman"/>
          <w:sz w:val="24"/>
          <w:szCs w:val="24"/>
        </w:rPr>
        <w:t>N/A</w:t>
      </w:r>
    </w:p>
    <w:p w:rsidR="001479E7" w:rsidRDefault="00B86D59"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479E7" w:rsidRDefault="00B86D59"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sz w:val="24"/>
          <w:szCs w:val="24"/>
        </w:rPr>
        <w:t>Currently, Massachusetts law defines a “contribution” under Chapter 55 to include any gift, subscription, loan, advance, deposit, or payment of money or anything of value made for the purpose of influencing an election, without excluding small-dollar purchases of food, beverages, or goods from political party fundraising events. This means that even nominal purchases at bake sales, farmers’ markets, or community festivals technically count as contributions, regardless of the purchase amount or whether the p</w:t>
      </w:r>
      <w:r>
        <w:rPr>
          <w:rFonts w:ascii="Times New Roman" w:hAnsi="Times New Roman" w:eastAsia="Times New Roman" w:cs="Times New Roman"/>
          <w:sz w:val="24"/>
          <w:szCs w:val="24"/>
        </w:rPr>
        <w:t xml:space="preserve">rice exceeds the cost of the goods. </w:t>
      </w:r>
    </w:p>
    <w:p w:rsidR="001479E7" w:rsidRDefault="001479E7"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1479E7" w:rsidRDefault="00B86D59" w14:paraId="00000013"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SUMMARY</w:t>
      </w:r>
      <w:r>
        <w:rPr>
          <w:rFonts w:ascii="Times New Roman" w:hAnsi="Times New Roman" w:eastAsia="Times New Roman" w:cs="Times New Roman"/>
        </w:rPr>
        <w:t>:</w:t>
      </w:r>
      <w:r>
        <w:rPr>
          <w:rFonts w:ascii="Times New Roman" w:hAnsi="Times New Roman" w:eastAsia="Times New Roman" w:cs="Times New Roman"/>
          <w:sz w:val="24"/>
          <w:szCs w:val="24"/>
        </w:rPr>
        <w:t xml:space="preserve"> </w:t>
      </w:r>
      <w:r>
        <w:rPr>
          <w:rFonts w:ascii="Times New Roman" w:hAnsi="Times New Roman" w:eastAsia="Times New Roman" w:cs="Times New Roman"/>
        </w:rPr>
        <w:t>This bill amends Chapter 55 of the General Laws by clarifying that payments made by individuals for food, beverages, or goods sold by political party committees at events such as bake sales, farmer’s markets, or community festivals are not considered "contributions" if the total payments do not exceed $10,000 per calendar year. The purchases must be for a nominal price per item, even if the price paid exceeds the cost of the goods sold.</w:t>
      </w:r>
    </w:p>
    <w:p w:rsidR="001479E7" w:rsidRDefault="001479E7" w14:paraId="00000014" w14:textId="77777777">
      <w:pPr>
        <w:rPr>
          <w:rFonts w:ascii="Times New Roman" w:hAnsi="Times New Roman" w:eastAsia="Times New Roman" w:cs="Times New Roman"/>
        </w:rPr>
      </w:pPr>
    </w:p>
    <w:sectPr w:rsidR="001479E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E7"/>
    <w:rsid w:val="001479E7"/>
    <w:rsid w:val="004A7A32"/>
    <w:rsid w:val="00B86D59"/>
    <w:rsid w:val="53ABA95C"/>
    <w:rsid w:val="71B922A4"/>
    <w:rsid w:val="727F633F"/>
    <w:rsid w:val="79278BE4"/>
    <w:rsid w:val="7FC60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682C202C-0470-4875-ADAA-373B6534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83D8F-E4AF-4810-BE02-C176E02C0B70}">
  <ds:schemaRefs>
    <ds:schemaRef ds:uri="http://schemas.microsoft.com/sharepoint/v3/contenttype/forms"/>
  </ds:schemaRefs>
</ds:datastoreItem>
</file>

<file path=customXml/itemProps2.xml><?xml version="1.0" encoding="utf-8"?>
<ds:datastoreItem xmlns:ds="http://schemas.openxmlformats.org/officeDocument/2006/customXml" ds:itemID="{2A49623A-7008-43D3-981C-DCA8C4292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6298-53BB-4A14-A809-750278A91F1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2025-10-10T15:28:00.0000000Z</dcterms:created>
  <dcterms:modified xsi:type="dcterms:W3CDTF">2025-10-10T15:29:16.2336353Z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