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240" w:before="240" w:lineRule="auto"/>
        <w:jc w:val="center"/>
        <w:rPr>
          <w:b w:val="1"/>
          <w:sz w:val="28"/>
          <w:szCs w:val="28"/>
        </w:rPr>
      </w:pPr>
      <w:r w:rsidDel="00000000" w:rsidR="00000000" w:rsidRPr="00000000">
        <w:rPr>
          <w:b w:val="1"/>
          <w:sz w:val="28"/>
          <w:szCs w:val="28"/>
          <w:rtl w:val="0"/>
        </w:rPr>
        <w:t xml:space="preserve">Joint Committee on Environment and Natural Resources</w:t>
      </w:r>
    </w:p>
    <w:p w:rsidR="00000000" w:rsidDel="00000000" w:rsidP="00000000" w:rsidRDefault="00000000" w:rsidRPr="00000000" w14:paraId="00000002">
      <w:pPr>
        <w:spacing w:after="240" w:before="240" w:lineRule="auto"/>
        <w:jc w:val="center"/>
        <w:rPr>
          <w:b w:val="1"/>
        </w:rPr>
      </w:pPr>
      <w:r w:rsidDel="00000000" w:rsidR="00000000" w:rsidRPr="00000000">
        <w:rPr>
          <w:b w:val="1"/>
          <w:sz w:val="28"/>
          <w:szCs w:val="28"/>
          <w:rtl w:val="0"/>
        </w:rPr>
        <w:t xml:space="preserve">Bill Summary</w:t>
        <w:br w:type="textWrapping"/>
      </w:r>
      <w:r w:rsidDel="00000000" w:rsidR="00000000" w:rsidRPr="00000000">
        <w:rPr>
          <w:rtl w:val="0"/>
        </w:rPr>
        <w:t xml:space="preserve"> </w:t>
      </w:r>
      <w:r w:rsidDel="00000000" w:rsidR="00000000" w:rsidRPr="00000000">
        <w:rPr>
          <w:b w:val="1"/>
          <w:rtl w:val="0"/>
        </w:rPr>
        <w:t xml:space="preserve">__________________________________________________________________</w:t>
      </w:r>
    </w:p>
    <w:tbl>
      <w:tblPr>
        <w:tblStyle w:val="Table1"/>
        <w:tblW w:w="9359.999999999998"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467.5110456553753"/>
        <w:gridCol w:w="6892.488954344624"/>
        <w:tblGridChange w:id="0">
          <w:tblGrid>
            <w:gridCol w:w="2467.5110456553753"/>
            <w:gridCol w:w="6892.488954344624"/>
          </w:tblGrid>
        </w:tblGridChange>
      </w:tblGrid>
      <w:tr>
        <w:trPr>
          <w:cantSplit w:val="0"/>
          <w:trHeight w:val="540" w:hRule="atLeast"/>
          <w:tblHeader w:val="0"/>
        </w:trPr>
        <w:tc>
          <w:tcPr>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03">
            <w:pPr>
              <w:spacing w:after="240" w:before="240" w:lineRule="auto"/>
              <w:rPr>
                <w:b w:val="1"/>
                <w:u w:val="single"/>
              </w:rPr>
            </w:pPr>
            <w:r w:rsidDel="00000000" w:rsidR="00000000" w:rsidRPr="00000000">
              <w:rPr>
                <w:b w:val="1"/>
                <w:u w:val="single"/>
                <w:rtl w:val="0"/>
              </w:rPr>
              <w:t xml:space="preserve">BILL NUMBER</w:t>
            </w:r>
          </w:p>
        </w:tc>
        <w:tc>
          <w:tcPr>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04">
            <w:pPr>
              <w:spacing w:after="240" w:befor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House, No. 890</w:t>
            </w:r>
          </w:p>
        </w:tc>
      </w:tr>
      <w:tr>
        <w:trPr>
          <w:cantSplit w:val="0"/>
          <w:trHeight w:val="510" w:hRule="atLeast"/>
          <w:tblHeader w:val="0"/>
        </w:trPr>
        <w:tc>
          <w:tcPr>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05">
            <w:pPr>
              <w:spacing w:after="240" w:before="240" w:lineRule="auto"/>
              <w:rPr>
                <w:b w:val="1"/>
                <w:u w:val="single"/>
              </w:rPr>
            </w:pPr>
            <w:r w:rsidDel="00000000" w:rsidR="00000000" w:rsidRPr="00000000">
              <w:rPr>
                <w:b w:val="1"/>
                <w:u w:val="single"/>
                <w:rtl w:val="0"/>
              </w:rPr>
              <w:t xml:space="preserve">TITLE</w:t>
            </w:r>
          </w:p>
        </w:tc>
        <w:tc>
          <w:tcPr>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06">
            <w:pPr>
              <w:spacing w:after="240" w:befor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An Act relative to crumbling concrete foundations</w:t>
            </w:r>
          </w:p>
        </w:tc>
      </w:tr>
      <w:tr>
        <w:trPr>
          <w:cantSplit w:val="0"/>
          <w:trHeight w:val="510" w:hRule="atLeast"/>
          <w:tblHeader w:val="0"/>
        </w:trPr>
        <w:tc>
          <w:tcPr>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07">
            <w:pPr>
              <w:spacing w:after="240" w:before="240" w:lineRule="auto"/>
              <w:rPr>
                <w:b w:val="1"/>
                <w:u w:val="single"/>
              </w:rPr>
            </w:pPr>
            <w:r w:rsidDel="00000000" w:rsidR="00000000" w:rsidRPr="00000000">
              <w:rPr>
                <w:b w:val="1"/>
                <w:u w:val="single"/>
                <w:rtl w:val="0"/>
              </w:rPr>
              <w:t xml:space="preserve">SPONSORS</w:t>
            </w:r>
          </w:p>
        </w:tc>
        <w:tc>
          <w:tcPr>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08">
            <w:pPr>
              <w:spacing w:after="240" w:befor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Representative Ashe</w:t>
            </w:r>
          </w:p>
        </w:tc>
      </w:tr>
      <w:tr>
        <w:trPr>
          <w:cantSplit w:val="0"/>
          <w:trHeight w:val="510" w:hRule="atLeast"/>
          <w:tblHeader w:val="0"/>
        </w:trPr>
        <w:tc>
          <w:tcPr>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09">
            <w:pPr>
              <w:spacing w:after="240" w:before="240" w:lineRule="auto"/>
              <w:rPr>
                <w:b w:val="1"/>
                <w:u w:val="single"/>
              </w:rPr>
            </w:pPr>
            <w:r w:rsidDel="00000000" w:rsidR="00000000" w:rsidRPr="00000000">
              <w:rPr>
                <w:b w:val="1"/>
                <w:u w:val="single"/>
                <w:rtl w:val="0"/>
              </w:rPr>
              <w:t xml:space="preserve">SIMILAR MATTERS</w:t>
            </w:r>
          </w:p>
        </w:tc>
        <w:tc>
          <w:tcPr>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0A">
            <w:pPr>
              <w:spacing w:after="240" w:befor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None</w:t>
            </w:r>
          </w:p>
        </w:tc>
      </w:tr>
      <w:tr>
        <w:trPr>
          <w:cantSplit w:val="0"/>
          <w:trHeight w:val="2486.78466796875" w:hRule="atLeast"/>
          <w:tblHeader w:val="0"/>
        </w:trPr>
        <w:tc>
          <w:tcPr>
            <w:gridSpan w:val="2"/>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0B">
            <w:pPr>
              <w:spacing w:after="240" w:before="240" w:lineRule="auto"/>
              <w:rPr>
                <w:b w:val="1"/>
                <w:u w:val="single"/>
              </w:rPr>
            </w:pPr>
            <w:r w:rsidDel="00000000" w:rsidR="00000000" w:rsidRPr="00000000">
              <w:rPr>
                <w:b w:val="1"/>
                <w:u w:val="single"/>
                <w:rtl w:val="0"/>
              </w:rPr>
              <w:t xml:space="preserve">PRIOR HISTORY</w:t>
            </w:r>
          </w:p>
          <w:p w:rsidR="00000000" w:rsidDel="00000000" w:rsidP="00000000" w:rsidRDefault="00000000" w:rsidRPr="00000000" w14:paraId="0000000C">
            <w:pPr>
              <w:spacing w:after="0" w:before="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2021-2022: Filed as S548; ENRA redrafted as S2804 and reported favorably; referred to SWM where no further action was taken</w:t>
            </w:r>
          </w:p>
          <w:p w:rsidR="00000000" w:rsidDel="00000000" w:rsidP="00000000" w:rsidRDefault="00000000" w:rsidRPr="00000000" w14:paraId="0000000D">
            <w:pPr>
              <w:spacing w:after="0" w:before="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2023-2024: Filed as S495 by Sen. Gobi; ENR redrafted as S2559 and reported favorably; referred to SWM, new draft substituted, S3015; referred to HWM where no further action was taken</w:t>
            </w:r>
            <w:r w:rsidDel="00000000" w:rsidR="00000000" w:rsidRPr="00000000">
              <w:rPr>
                <w:rtl w:val="0"/>
              </w:rPr>
            </w:r>
          </w:p>
        </w:tc>
      </w:tr>
      <w:tr>
        <w:trPr>
          <w:cantSplit w:val="0"/>
          <w:trHeight w:val="3960" w:hRule="atLeast"/>
          <w:tblHeader w:val="0"/>
        </w:trPr>
        <w:tc>
          <w:tcPr>
            <w:gridSpan w:val="2"/>
            <w:tcBorders>
              <w:top w:color="000000" w:space="0" w:sz="0" w:val="nil"/>
              <w:left w:color="000000" w:space="0" w:sz="0" w:val="nil"/>
              <w:bottom w:color="000000" w:space="0" w:sz="0" w:val="nil"/>
              <w:right w:color="000000" w:space="0" w:sz="0" w:val="nil"/>
            </w:tcBorders>
            <w:shd w:fill="auto" w:val="clear"/>
            <w:tcMar>
              <w:top w:w="0.0" w:type="dxa"/>
              <w:left w:w="100.0" w:type="dxa"/>
              <w:bottom w:w="0.0" w:type="dxa"/>
              <w:right w:w="100.0" w:type="dxa"/>
            </w:tcMar>
            <w:vAlign w:val="top"/>
          </w:tcPr>
          <w:p w:rsidR="00000000" w:rsidDel="00000000" w:rsidP="00000000" w:rsidRDefault="00000000" w:rsidRPr="00000000" w14:paraId="0000000F">
            <w:pPr>
              <w:spacing w:after="240" w:before="240" w:lineRule="auto"/>
              <w:rPr>
                <w:b w:val="1"/>
                <w:u w:val="single"/>
              </w:rPr>
            </w:pPr>
            <w:r w:rsidDel="00000000" w:rsidR="00000000" w:rsidRPr="00000000">
              <w:rPr>
                <w:b w:val="1"/>
                <w:u w:val="single"/>
                <w:rtl w:val="0"/>
              </w:rPr>
              <w:t xml:space="preserve">SUMMARY</w:t>
            </w:r>
          </w:p>
          <w:p w:rsidR="00000000" w:rsidDel="00000000" w:rsidP="00000000" w:rsidRDefault="00000000" w:rsidRPr="00000000" w14:paraId="00000010">
            <w:pPr>
              <w:pBdr>
                <w:top w:color="auto" w:space="0" w:sz="0" w:val="none"/>
                <w:left w:color="auto" w:space="0" w:sz="0" w:val="none"/>
                <w:bottom w:color="auto" w:space="0" w:sz="0" w:val="none"/>
                <w:right w:color="auto" w:space="0" w:sz="0" w:val="none"/>
                <w:between w:color="auto" w:space="0" w:sz="0" w:val="none"/>
              </w:pBdr>
              <w:shd w:fill="ffffff" w:val="clear"/>
              <w:spacing w:after="200" w:line="240" w:lineRule="auto"/>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This legislation exempts its provisions from the fees and charges typically imposed by the Executive Office for Administration and Finance under Chapter 7, Section 3B of the Massachusetts General Laws.</w:t>
            </w:r>
          </w:p>
          <w:p w:rsidR="00000000" w:rsidDel="00000000" w:rsidP="00000000" w:rsidRDefault="00000000" w:rsidRPr="00000000" w14:paraId="00000011">
            <w:pPr>
              <w:pBdr>
                <w:top w:color="auto" w:space="0" w:sz="0" w:val="none"/>
                <w:left w:color="auto" w:space="0" w:sz="0" w:val="none"/>
                <w:bottom w:color="auto" w:space="0" w:sz="0" w:val="none"/>
                <w:right w:color="auto" w:space="0" w:sz="0" w:val="none"/>
                <w:between w:color="auto" w:space="0" w:sz="0" w:val="none"/>
              </w:pBdr>
              <w:shd w:fill="ffffff" w:val="clear"/>
              <w:spacing w:after="200" w:line="240" w:lineRule="auto"/>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Licensed home inspectors are required to inform potential home buyers or renters about the potential presence of pyrite or pyrrhotite in concrete foundations during property inspections conducted for sale or lease.</w:t>
            </w:r>
          </w:p>
          <w:p w:rsidR="00000000" w:rsidDel="00000000" w:rsidP="00000000" w:rsidRDefault="00000000" w:rsidRPr="00000000" w14:paraId="00000012">
            <w:pPr>
              <w:pBdr>
                <w:top w:color="auto" w:space="0" w:sz="0" w:val="none"/>
                <w:left w:color="auto" w:space="0" w:sz="0" w:val="none"/>
                <w:bottom w:color="auto" w:space="0" w:sz="0" w:val="none"/>
                <w:right w:color="auto" w:space="0" w:sz="0" w:val="none"/>
                <w:between w:color="auto" w:space="0" w:sz="0" w:val="none"/>
              </w:pBdr>
              <w:shd w:fill="ffffff" w:val="clear"/>
              <w:spacing w:after="200" w:line="240" w:lineRule="auto"/>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The law defines the terms “aggregate,” “concrete aggregate,” and “certified geologist.” It introduces a licensure requirement for anyone seeking to mine, expand, excavate, or operate a quarry producing aggregate concrete for use in foundations or infrastructure. License applications must include a geological source report (valid for one year) and aggregate test results for pyrite or pyrrhotite. Surplus license fees will support the Crumbling Concrete Assistance Fund. Quarry operators must keep relevant records, including sales, for 10 years, and concrete producers must document their licensed aggregate sources for the same period. The Department of Transportation, in coordination with the State Geologist, will manage a data catalog based on licensing information. Municipalities may enforce stricter requirements.</w:t>
            </w:r>
          </w:p>
          <w:p w:rsidR="00000000" w:rsidDel="00000000" w:rsidP="00000000" w:rsidRDefault="00000000" w:rsidRPr="00000000" w14:paraId="00000013">
            <w:pPr>
              <w:pBdr>
                <w:top w:color="auto" w:space="0" w:sz="0" w:val="none"/>
                <w:left w:color="auto" w:space="0" w:sz="0" w:val="none"/>
                <w:bottom w:color="auto" w:space="0" w:sz="0" w:val="none"/>
                <w:right w:color="auto" w:space="0" w:sz="0" w:val="none"/>
                <w:between w:color="auto" w:space="0" w:sz="0" w:val="none"/>
              </w:pBdr>
              <w:shd w:fill="ffffff" w:val="clear"/>
              <w:spacing w:after="200" w:line="240" w:lineRule="auto"/>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A new Crumbling Concrete Relief Agency (CCRA) is created within the Department of Housing and Community Development. This agency will educate the public about pyrite and pyrrhotite risks, maintain an online database of licensed quarries, and manage the Crumbling Concrete Assistance Fund. The CCRA must provide written decisions on assistance requests and allow homeowners to request a review within 30 days.</w:t>
            </w:r>
          </w:p>
          <w:p w:rsidR="00000000" w:rsidDel="00000000" w:rsidP="00000000" w:rsidRDefault="00000000" w:rsidRPr="00000000" w14:paraId="00000014">
            <w:pPr>
              <w:pBdr>
                <w:top w:color="auto" w:space="0" w:sz="0" w:val="none"/>
                <w:left w:color="auto" w:space="0" w:sz="0" w:val="none"/>
                <w:bottom w:color="auto" w:space="0" w:sz="0" w:val="none"/>
                <w:right w:color="auto" w:space="0" w:sz="0" w:val="none"/>
                <w:between w:color="auto" w:space="0" w:sz="0" w:val="none"/>
              </w:pBdr>
              <w:shd w:fill="ffffff" w:val="clear"/>
              <w:spacing w:after="200" w:line="240" w:lineRule="auto"/>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The Crumbling Concrete Assistance Fund (CCAF), formally established under Section 2FFFFFF of Chapter 29, will be administered by the Secretary of Housing and Livable Communities. It provides financial aid to homeowners for repairing or replacing concrete foundations damaged by pyrite or pyrrhotite, minimizes fiscal impacts on municipalities, and allows for reimbursements to homeowners who already completed such repairs prior to the fund's creation. Reimbursements are capped at what the owner would have received through the fund. The fund may be supported by state appropriations, public and private contributions, federal grants (including HUD’s Section 108 Loan Guarantee program), and interest earnings. All assistance issued is tax-exempt under state law. The secretary must report annually by June 1 on fund activity and is responsible for setting rules and issuing guidance on its use.</w:t>
            </w:r>
          </w:p>
          <w:p w:rsidR="00000000" w:rsidDel="00000000" w:rsidP="00000000" w:rsidRDefault="00000000" w:rsidRPr="00000000" w14:paraId="00000015">
            <w:pPr>
              <w:pBdr>
                <w:top w:color="auto" w:space="0" w:sz="0" w:val="none"/>
                <w:left w:color="auto" w:space="0" w:sz="0" w:val="none"/>
                <w:bottom w:color="auto" w:space="0" w:sz="0" w:val="none"/>
                <w:right w:color="auto" w:space="0" w:sz="0" w:val="none"/>
                <w:between w:color="auto" w:space="0" w:sz="0" w:val="none"/>
              </w:pBdr>
              <w:shd w:fill="ffffff" w:val="clear"/>
              <w:spacing w:after="200" w:line="240" w:lineRule="auto"/>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Homeowners may apply for property tax abatements if pyrite or pyrrhotite is found in their foundation. Eligibility must be confirmed by collecting core samples and undergoing a certified inspection by a civil engineer. The assessed value reduction remains in effect until the foundation is repaired or replaced.</w:t>
            </w:r>
          </w:p>
          <w:p w:rsidR="00000000" w:rsidDel="00000000" w:rsidP="00000000" w:rsidRDefault="00000000" w:rsidRPr="00000000" w14:paraId="00000016">
            <w:pPr>
              <w:pBdr>
                <w:top w:color="auto" w:space="0" w:sz="0" w:val="none"/>
                <w:left w:color="auto" w:space="0" w:sz="0" w:val="none"/>
                <w:bottom w:color="auto" w:space="0" w:sz="0" w:val="none"/>
                <w:right w:color="auto" w:space="0" w:sz="0" w:val="none"/>
                <w:between w:color="auto" w:space="0" w:sz="0" w:val="none"/>
              </w:pBdr>
              <w:shd w:fill="ffffff" w:val="clear"/>
              <w:spacing w:after="200" w:line="240" w:lineRule="auto"/>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Municipalities must waive building permit fees for work related to replacing crumbling concrete foundations.</w:t>
            </w:r>
          </w:p>
          <w:p w:rsidR="00000000" w:rsidDel="00000000" w:rsidP="00000000" w:rsidRDefault="00000000" w:rsidRPr="00000000" w14:paraId="00000017">
            <w:pPr>
              <w:pBdr>
                <w:top w:color="auto" w:space="0" w:sz="0" w:val="none"/>
                <w:left w:color="auto" w:space="0" w:sz="0" w:val="none"/>
                <w:bottom w:color="auto" w:space="0" w:sz="0" w:val="none"/>
                <w:right w:color="auto" w:space="0" w:sz="0" w:val="none"/>
                <w:between w:color="auto" w:space="0" w:sz="0" w:val="none"/>
              </w:pBdr>
              <w:shd w:fill="ffffff" w:val="clear"/>
              <w:spacing w:after="200" w:line="240" w:lineRule="auto"/>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Active quarries subject to the new licensing requirements must either submit a full license application or secure interim approval for continued operations within two months of the legislation’s passage.</w:t>
            </w:r>
          </w:p>
          <w:p w:rsidR="00000000" w:rsidDel="00000000" w:rsidP="00000000" w:rsidRDefault="00000000" w:rsidRPr="00000000" w14:paraId="00000018">
            <w:pPr>
              <w:pBdr>
                <w:top w:color="auto" w:space="0" w:sz="0" w:val="none"/>
                <w:left w:color="auto" w:space="0" w:sz="0" w:val="none"/>
                <w:bottom w:color="auto" w:space="0" w:sz="0" w:val="none"/>
                <w:right w:color="auto" w:space="0" w:sz="0" w:val="none"/>
                <w:between w:color="auto" w:space="0" w:sz="0" w:val="none"/>
              </w:pBdr>
              <w:shd w:fill="ffffff" w:val="clear"/>
              <w:spacing w:after="200" w:line="240" w:lineRule="auto"/>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Additionally, the Secretary of Housing and Livable Communities must convene a stakeholder working group within 30 days of the law's effective date. This group will evaluate regulatory and legislative measures needed to address deteriorating foundations due to pyrite or pyrrhotite. It will include representatives from various state agencies, homeowner advocates, industry groups, and legislative members. The group will assess administrative responsibilities, financial models such as insurance surcharges or supplemental loans, and consumer protection strategies including advocacy and education. A report with recommendations is due by February 1, 2026.</w:t>
            </w:r>
            <w:r w:rsidDel="00000000" w:rsidR="00000000" w:rsidRPr="00000000">
              <w:rPr>
                <w:rtl w:val="0"/>
              </w:rPr>
            </w:r>
          </w:p>
        </w:tc>
      </w:tr>
    </w:tbl>
    <w:p w:rsidR="00000000" w:rsidDel="00000000" w:rsidP="00000000" w:rsidRDefault="00000000" w:rsidRPr="00000000" w14:paraId="0000001A">
      <w:pPr>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 w:type="table" w:styleId="Table1">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