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6735"/>
        <w:tblGridChange w:id="0">
          <w:tblGrid>
            <w:gridCol w:w="2625"/>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892</w:t>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instructing the Massachusetts Department of Fish &amp; Game to study the feasibility of repurposing the former Moon Island Sewage Treatment Plant for the purposes of fish and shellfish farms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Ayers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4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240" w:lineRule="auto"/>
              <w:ind w:left="-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2021-2022: Filed as H847; sent to study by ENRA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40" w:lineRule="auto"/>
              <w:ind w:left="-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2023-2024: Filed as H748; accompanied a study order, H4668</w:t>
            </w:r>
            <w:r w:rsidDel="00000000" w:rsidR="00000000" w:rsidRPr="00000000">
              <w:rPr>
                <w:rtl w:val="0"/>
              </w:rPr>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4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establishes a special commission that is tasked with reviewing options for the long-term management and maintenance of Moon Island, and the projected future use of Long Island. This special commission is to be composed of members of the Legislature, the mayors of Boston and Quincy, city councilors from Boston and Quincy, the EEA Secretary, a National Parks Service representative, conservation and environmental stakeholders, and the Executive Director of the Squantum Neighborhood Association.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Within 180 days of enactment, the special commission will provide the Legislature with the results of its study, as well as recommendations for environmental oversight and preservation. This must be filed with the House Clerk no later than December 1, </w:t>
            </w:r>
            <w:r w:rsidDel="00000000" w:rsidR="00000000" w:rsidRPr="00000000">
              <w:rPr>
                <w:rFonts w:ascii="Times New Roman" w:cs="Times New Roman" w:eastAsia="Times New Roman" w:hAnsi="Times New Roman"/>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