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0"/>
        <w:gridCol w:w="7020"/>
        <w:tblGridChange w:id="0">
          <w:tblGrid>
            <w:gridCol w:w="2340"/>
            <w:gridCol w:w="702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897</w:t>
            </w:r>
          </w:p>
        </w:tc>
      </w:tr>
      <w:tr>
        <w:trPr>
          <w:cantSplit w:val="0"/>
          <w:trHeight w:val="949.746093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0" w:before="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6">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overcome coastal and environmental acidification and nutrient pollution</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0" w:before="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9">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Badger</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H.1009, Rep. Moakley (Duplicate file of H.897); S.566, Sen. Cyr; S. 599, Sen. Fernandes</w:t>
            </w:r>
          </w:p>
        </w:tc>
      </w:tr>
      <w:tr>
        <w:trPr>
          <w:cantSplit w:val="0"/>
          <w:trHeight w:val="1291.88232421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H3835; favorably redrafted as H4596 by ENRA; referred to HWM where no further action was taken</w:t>
            </w:r>
          </w:p>
          <w:p w:rsidR="00000000" w:rsidDel="00000000" w:rsidP="00000000" w:rsidRDefault="00000000" w:rsidRPr="00000000" w14:paraId="0000000F">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w:t>
            </w:r>
            <w:r w:rsidDel="00000000" w:rsidR="00000000" w:rsidRPr="00000000">
              <w:rPr>
                <w:rFonts w:ascii="Times New Roman" w:cs="Times New Roman" w:eastAsia="Times New Roman" w:hAnsi="Times New Roman"/>
                <w:sz w:val="24"/>
                <w:szCs w:val="24"/>
                <w:rtl w:val="0"/>
              </w:rPr>
              <w:t xml:space="preserve"> Filed as H793</w:t>
            </w:r>
            <w:r w:rsidDel="00000000" w:rsidR="00000000" w:rsidRPr="00000000">
              <w:rPr>
                <w:rFonts w:ascii="Times New Roman" w:cs="Times New Roman" w:eastAsia="Times New Roman" w:hAnsi="Times New Roman"/>
                <w:sz w:val="24"/>
                <w:szCs w:val="24"/>
                <w:rtl w:val="0"/>
              </w:rPr>
              <w:t xml:space="preserve"> (filed by Rep. Fernandes &amp; Rep. Muratore); favorably reported by ENR and referred to HWM; no further action taken</w:t>
            </w:r>
          </w:p>
          <w:p w:rsidR="00000000" w:rsidDel="00000000" w:rsidP="00000000" w:rsidRDefault="00000000" w:rsidRPr="00000000" w14:paraId="00000011">
            <w:pPr>
              <w:spacing w:after="0" w:before="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amends Chapter 6 of MGL and adds a new section, </w:t>
            </w:r>
            <w:r w:rsidDel="00000000" w:rsidR="00000000" w:rsidRPr="00000000">
              <w:rPr>
                <w:rFonts w:ascii="Times New Roman" w:cs="Times New Roman" w:eastAsia="Times New Roman" w:hAnsi="Times New Roman"/>
                <w:sz w:val="24"/>
                <w:szCs w:val="24"/>
                <w:rtl w:val="0"/>
              </w:rPr>
              <w:t xml:space="preserve">15MMMMMM</w:t>
            </w:r>
            <w:r w:rsidDel="00000000" w:rsidR="00000000" w:rsidRPr="00000000">
              <w:rPr>
                <w:rFonts w:ascii="Times New Roman" w:cs="Times New Roman" w:eastAsia="Times New Roman" w:hAnsi="Times New Roman"/>
                <w:sz w:val="24"/>
                <w:szCs w:val="24"/>
                <w:rtl w:val="0"/>
              </w:rPr>
              <w:t xml:space="preserve">, which directs the governor to issue an annual proclamation designating the third week of August as Ocean Acidification Awareness Week.</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21N of MGL is amended by adding a new section, Section 12, which establishes an Ocean Acidification Council. The Secretary of Energy and Environmental Affairs will create the council and chair it. The council will be tasked with further understanding and undertaking efforts to mitigate threats posed by ocean and coastal acidification through the coordination of data collection and recommendation of mitigative interventions for coastal stressors and adaptive technologies for the aquaculture industry.</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a year of formation, the council will perform and publish a gap analysis for ocean monitoring and recommend appropriate measures for modeling ocean acidification and projecting acidification trends. The council will convene two public hearings and a workshop with local ocean monitoring groups to identify needs and inform the analysis. The council may also commission independent studies and agency reports to fill remaining knowledge gaps pertaining to the effects of acidification on marine species and clarifying the causal relationship between nutrient pollution, eutrophication, and acidification.</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council will coordinate implementation of this recommended monitoring system within three years of this bill's passage. Any data derived from this monitoring system will be made publicly accessible.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w:t>
            </w:r>
            <w:r w:rsidDel="00000000" w:rsidR="00000000" w:rsidRPr="00000000">
              <w:rPr>
                <w:rFonts w:ascii="Times New Roman" w:cs="Times New Roman" w:eastAsia="Times New Roman" w:hAnsi="Times New Roman"/>
                <w:sz w:val="24"/>
                <w:szCs w:val="24"/>
                <w:rtl w:val="0"/>
              </w:rPr>
              <w:t xml:space="preserve">is bill establishes t</w:t>
            </w:r>
            <w:r w:rsidDel="00000000" w:rsidR="00000000" w:rsidRPr="00000000">
              <w:rPr>
                <w:rFonts w:ascii="Times New Roman" w:cs="Times New Roman" w:eastAsia="Times New Roman" w:hAnsi="Times New Roman"/>
                <w:sz w:val="24"/>
                <w:szCs w:val="24"/>
                <w:rtl w:val="0"/>
              </w:rPr>
              <w:t xml:space="preserve">he Ocean Acidification Fund (subject to appropriation), which will be administered by the Ocean Acidification Council to restore and buffer marine habitats and resources impacted by</w:t>
            </w:r>
            <w:r w:rsidDel="00000000" w:rsidR="00000000" w:rsidRPr="00000000">
              <w:rPr>
                <w:rFonts w:ascii="Times New Roman" w:cs="Times New Roman" w:eastAsia="Times New Roman" w:hAnsi="Times New Roman"/>
                <w:sz w:val="24"/>
                <w:szCs w:val="24"/>
                <w:rtl w:val="0"/>
              </w:rPr>
              <w:t xml:space="preserve"> acidification. The fund will also be used to finance infrastructure improvements to reduce eutrophication.</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Section 10 of Chapter 21N of MGL to </w:t>
            </w:r>
            <w:r w:rsidDel="00000000" w:rsidR="00000000" w:rsidRPr="00000000">
              <w:rPr>
                <w:rFonts w:ascii="Times New Roman" w:cs="Times New Roman" w:eastAsia="Times New Roman" w:hAnsi="Times New Roman"/>
                <w:sz w:val="24"/>
                <w:szCs w:val="24"/>
                <w:rtl w:val="0"/>
              </w:rPr>
              <w:t xml:space="preserve">include observed and projected climate trends pertaining to ocean and coastal acidification in the statewide climate adaptation strategy published every five years by the Department of Energy and Environmental Affairs and Public Safety and Security Secretaries.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Section 61 of Chapter 30 of MGL is further amended to include coastal ocean acidification as a reasonably foreseeable climate change impact to be considered by agencies, departments, boards, commissions or authorities prior to the issuance of permits, licenses, and other administrative approvals and decisions.</w:t>
            </w:r>
            <w:r w:rsidDel="00000000" w:rsidR="00000000" w:rsidRPr="00000000">
              <w:rPr>
                <w:rtl w:val="0"/>
              </w:rPr>
            </w:r>
          </w:p>
        </w:tc>
      </w:tr>
    </w:tbl>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